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9EB62E" w14:textId="77777777" w:rsidR="00A77B3E" w:rsidRDefault="00A77B3E"/>
    <w:p w14:paraId="4BBFC300" w14:textId="77777777" w:rsidR="00A77B3E" w:rsidRDefault="00A77B3E">
      <w:pPr>
        <w:pStyle w:val="1"/>
      </w:pPr>
    </w:p>
    <w:p w14:paraId="16A8AAFF" w14:textId="77777777" w:rsidR="00A77B3E" w:rsidRDefault="00A77B3E">
      <w:pPr>
        <w:pStyle w:val="1"/>
      </w:pPr>
    </w:p>
    <w:p w14:paraId="5FB4C3DD" w14:textId="77777777" w:rsidR="00A77B3E" w:rsidRDefault="0074203F">
      <w:pPr>
        <w:pStyle w:val="2"/>
      </w:pPr>
      <w:r>
        <w:t>Důvodová zpráva</w:t>
      </w:r>
    </w:p>
    <w:p w14:paraId="34CADD36" w14:textId="77777777" w:rsidR="00A77B3E" w:rsidRDefault="00851314" w:rsidP="00851314">
      <w:pPr>
        <w:pStyle w:val="1"/>
        <w:jc w:val="center"/>
      </w:pPr>
      <w:r w:rsidRPr="00851314">
        <w:rPr>
          <w:b/>
          <w:sz w:val="34"/>
        </w:rPr>
        <w:t>Návrh nařízení vlády, kterým se mění nařízení vlády č. 347/2016 Sb., o sazbách poplatků na odbornou činnost Státního úřadu pro jadernou bezpečnost, ve znění nařízení vlády č. 273/2019 Sb.</w:t>
      </w:r>
    </w:p>
    <w:p w14:paraId="659537FB" w14:textId="77777777" w:rsidR="00A77B3E" w:rsidRDefault="0074203F">
      <w:pPr>
        <w:pStyle w:val="4"/>
      </w:pPr>
      <w:r>
        <w:t>I. Obecná část</w:t>
      </w:r>
    </w:p>
    <w:p w14:paraId="28919072" w14:textId="77777777" w:rsidR="00A77B3E" w:rsidRDefault="0074203F">
      <w:pPr>
        <w:pStyle w:val="5"/>
      </w:pPr>
      <w:r>
        <w:t>1.   Popis obsahu návrhu právního předpisu s uvedením důvodů, které k jeho předložení vedou, a shrnutí základních zásad a nejdůležitějších změn, které oproti stávající právní úpravě zavádí</w:t>
      </w:r>
    </w:p>
    <w:p w14:paraId="735F2D58" w14:textId="77777777" w:rsidR="00A77B3E" w:rsidRDefault="0074203F">
      <w:pPr>
        <w:pStyle w:val="6"/>
      </w:pPr>
      <w:r>
        <w:t>Nařízením vlády č. 347/2016 Sb., o sazbách poplatků na odbornou činnost Státního úřadu pro jadernou bezpečnost, jsou upraveny sazby poplatku za žádost a udržovacího poplatku pro vybrané činnosti Státního úřadu pro jadernou bezpečnost (dále jen „SÚJB“). Nařízení vlády č. 347/2016 Sb. je prováděcím právním předpisem k zákonu č. 263/2016 Sb., atomový zákon, ve znění pozdějších předpisů (dále jen „atomový zákon“).</w:t>
      </w:r>
    </w:p>
    <w:p w14:paraId="255B7132" w14:textId="77777777" w:rsidR="00A77B3E" w:rsidRDefault="0074203F">
      <w:pPr>
        <w:pStyle w:val="7"/>
      </w:pPr>
      <w:r>
        <w:t>Hlavním cílem předkládaného návrhu novely nařízení vlády je reagovat na zákon č. XX/2025 Sb., kterým se mění zákon č. 263/2016 Sb., atomový zákon, který nabyde účinnosti dne 1. července 2025 (dále jen „novela atomového zákona“). Novelou atomového zákona byla nově do § 228a zavedena možnost žádat Státní úřad pro jadernou bezpečnost o předběžnou informaci o tom, podle jakých hledisek bude posuzovat žádost o vydání rozhodnutí nebo za jakých předpokladů lze žádosti vyhovět. Nový institut tzv. předběžné informace vychází zejména z obdobné mezinárodní praxe zahraničních kontrolních orgánů v oblasti mírového využívání jaderné energie a ionizujícího záření. Jeho zavedení vychází § 139 zákona č. 500/2004 Sb., správní řád., který stanoví, že předběžnou informaci lze poskytnout, stanoví-li tak zvláštní zákon.</w:t>
      </w:r>
    </w:p>
    <w:p w14:paraId="4012581E" w14:textId="77777777" w:rsidR="00851314" w:rsidRDefault="00851314" w:rsidP="00851314">
      <w:pPr>
        <w:pStyle w:val="7"/>
      </w:pPr>
      <w:r>
        <w:t>Institut předběžné informace je zaváděn v návaznosti na aktuální potřeby praxe, zejména v oblasti využívání jaderné energie a zvažovaného uvedení nových jaderných zdrojů. Nové technologie a relativně rychlý postup jejich nasazení přinášejí řadu odborných a technologických nejistot na straně budoucího provozovatel i státu. Řadu faktických kroků je přitom nezbytné učinit s předstihem, nežli je k dispozici komplexní suma informací umožňující v plném rozsahu ze strany státu posoudit, zda je možné a bezpečné dané zařízení umístit, vystavět a provozovat. Jedná se například o zajišťování komponent s dlouhou dobou výroby, jejichž obstarávání je nutné zahájit řadu let před zahájením výstavby in situ, neboť v opačném případě by se celý postup výstavby a uvádění do provozu značně prodlužoval. Za tímto účelem je potřebné před provedením příslušných řízení provést konzultace k vyjasnění, zda informace a podklady pro příslušné řízení, resp. i technologie, zařízení nebo lokalita, které jsou v informacích zachyceny, mohou být dostačující a odborně vyhovující.</w:t>
      </w:r>
    </w:p>
    <w:p w14:paraId="1ACB3F48" w14:textId="77777777" w:rsidR="00851314" w:rsidRDefault="00851314" w:rsidP="00851314">
      <w:pPr>
        <w:pStyle w:val="7"/>
      </w:pPr>
      <w:r>
        <w:t>Míra detailu poskytnuté informace bude záviset na způsobu formulace žadatelem položených otázek a dostupnosti informací o dané věci v okamžiku zpracování předběžné informace správním orgánem.</w:t>
      </w:r>
    </w:p>
    <w:p w14:paraId="02477278" w14:textId="77777777" w:rsidR="00851314" w:rsidRDefault="00851314" w:rsidP="00851314">
      <w:pPr>
        <w:pStyle w:val="7"/>
      </w:pPr>
      <w:r>
        <w:lastRenderedPageBreak/>
        <w:t>Účelem předběžné informace však není nahrazování činnosti žadatele o povolení regulátorem (SÚJB). Odpovědnost za úplné a správné zpracování dokumentace a jiných podkladů pro budoucí řízení vždy ponese žadatel o povolení, SÚJB v tomto směru smí poskytovat pouze metodickou a konzultační pomoc.</w:t>
      </w:r>
    </w:p>
    <w:p w14:paraId="09FF19BF" w14:textId="77777777" w:rsidR="00851314" w:rsidRDefault="00851314" w:rsidP="00851314">
      <w:pPr>
        <w:pStyle w:val="7"/>
      </w:pPr>
      <w:r>
        <w:t>Institut předběžné informace nevylučuje dosavadní praxi pracovních konzultací a vyjádření v dalších věcech. Obecně dává institut předběžné informace smysl tam, kde je vyžadováno komplexní odborné posouzení a je nutné a priori znát hledisko státu v otázkách zvláště složitých a rizikových a získat potřebnou právní jistotu. Z praktického pohledu lze předpokládat, že předběžná informace bude vyžívána zejména u nejsložitějších a nejnáročnějších položek, zatímco v jednoduchých věcech bude praktičtější podávat běžnou stručnou informaci či vyjádření.</w:t>
      </w:r>
    </w:p>
    <w:p w14:paraId="1A8B780D" w14:textId="77777777" w:rsidR="00A77B3E" w:rsidRDefault="0074203F">
      <w:pPr>
        <w:pStyle w:val="7"/>
      </w:pPr>
      <w:r>
        <w:t xml:space="preserve">Novým ustanovením (§ 228a atomového zákona) byla tedy nově zavedena možnost žádat o předběžnou informaci. Se žádostí o předběžnou informaci je na základě novely atomového zákona podle § 34 písm. c) spojen poplatek, jehož výše činí podle § 39 odst. 4 atomového zákona maximálně 1 500 000 Kč. Předmětem poplatku za požádání o předběžnou informaci je činnost </w:t>
      </w:r>
      <w:r w:rsidR="00851314">
        <w:t>SÚJB</w:t>
      </w:r>
      <w:r>
        <w:t xml:space="preserve"> související s poskytnutím předběžné informace. Cílem předkládaného návrhu nařízení vlády je stanovit různou výši poplatku za předběžnou informaci v závislosti na složitosti a významu vypracování předběžné informace</w:t>
      </w:r>
      <w:r w:rsidR="00851314">
        <w:t xml:space="preserve"> a to (v souladu s tím, co je uvedeno výše) u vyjmenovaných administrativně nejnáročnějších informací, které vyžadují </w:t>
      </w:r>
      <w:r w:rsidR="00851314" w:rsidRPr="00851314">
        <w:t>komplexní odborné posouzení</w:t>
      </w:r>
      <w:r w:rsidR="00851314">
        <w:t xml:space="preserve"> ze strany SÚJB</w:t>
      </w:r>
      <w:r>
        <w:t>.</w:t>
      </w:r>
    </w:p>
    <w:p w14:paraId="73895603" w14:textId="77777777" w:rsidR="00A77B3E" w:rsidRDefault="0074203F">
      <w:pPr>
        <w:pStyle w:val="7"/>
      </w:pPr>
      <w:r>
        <w:t>Částky v nově přidávaném § 3a jsou strukturovány podle tematických okruhů, kterých by se mohla žádost o předběžnou informaci dotýkat a pohybují se v rámci maximální meze určené atomovým zákonem. Návrh nařízení vlády rovněž na základě odstupňovaného přístupu přepokládá i nižší částku poplatku v případě výzkumných jaderných zařízení, u nichž se nepředpokládá taková míra složitosti a detailu jako například u energetických jaderných zařízení. Nižší částka je oproti předběžným informacím týkajících se pracoviště IV. kategorie stanovena například i v případě pracovišť III. kategorie a v případě jiných činností v rámci expozičních situací.</w:t>
      </w:r>
    </w:p>
    <w:p w14:paraId="76B5B719" w14:textId="77777777" w:rsidR="00A77B3E" w:rsidRDefault="0074203F">
      <w:pPr>
        <w:pStyle w:val="7"/>
      </w:pPr>
      <w:r>
        <w:t xml:space="preserve">Novela nařízení vlády pamatuje i na případ, když by se žádost o předběžnou informaci týkala více </w:t>
      </w:r>
      <w:r w:rsidR="00851314">
        <w:t xml:space="preserve">nařízením vlády vyjmenovaných </w:t>
      </w:r>
      <w:r>
        <w:t>témat. V daném případě dochází k součtu částek uvedených sazeb u jednotlivých tematických okruhů až do maximální výše stanovené zákonem.</w:t>
      </w:r>
    </w:p>
    <w:p w14:paraId="343E2202" w14:textId="77777777" w:rsidR="00A77B3E" w:rsidRDefault="0074203F">
      <w:pPr>
        <w:pStyle w:val="7"/>
      </w:pPr>
      <w:r>
        <w:t>Celý nový § 3a je strukturován do několika tematických oblastí. První oblast se týká mírového využívání jaderné energie a upravuje potenciální oblasti zájmu spojen</w:t>
      </w:r>
      <w:r w:rsidR="00851314">
        <w:t>é</w:t>
      </w:r>
      <w:r>
        <w:t xml:space="preserve"> s životním cyklem jaderného zařízení a jeho regulací. Druhá oblast se týká koncového cyklu jaderného zařízení, tedy oblasti nakládání s radioaktivními odpady a vyřazování, třetí schvalování typu ​výrobku a přepravy, čtvrtá činnosti v rámci expozičních situací a poskytování služeb významných z hlediska radiační ochrany</w:t>
      </w:r>
      <w:r w:rsidR="00851314">
        <w:t xml:space="preserve"> </w:t>
      </w:r>
      <w:r>
        <w:t>a pátá oblasti nešíření jaderných zbraní.</w:t>
      </w:r>
    </w:p>
    <w:p w14:paraId="4EAB7E2B" w14:textId="77777777" w:rsidR="00A77B3E" w:rsidRDefault="0074203F">
      <w:pPr>
        <w:pStyle w:val="7"/>
      </w:pPr>
      <w:r>
        <w:t>Dále jsou v rámci novely nařízení vlády navrhovány úpravy již existující sazby poplatku za žádost o povolení a udržovacího poplatku s tím, že se poplatek bude nově týkat všech energetických jaderných zařízení a u výzkumného jaderného zařízení bude odlišení výše poplatku v závislosti na tom, zda se jedná o výzkumné jaderné zařízení s nulovým nebo nenulovým výkonem. V těchto případech se však jedná ​spíše jen o ​drobné terminologické úpravy.</w:t>
      </w:r>
    </w:p>
    <w:p w14:paraId="2414107D" w14:textId="1A6340E9" w:rsidR="00A77B3E" w:rsidRDefault="0074203F">
      <w:pPr>
        <w:pStyle w:val="8"/>
      </w:pPr>
      <w:r>
        <w:t xml:space="preserve">Finanční dopady na státní rozpočet budou pozitivní, bude nově vybírán poplatek za požádání o předběžnou informaci. Hodnocení dopadů regulace RIA podle Obecných zásad pro hodnocení dopadů regulace není provedeno na základě schváleného Plánu legislativních prací vlády na rok </w:t>
      </w:r>
      <w:r>
        <w:lastRenderedPageBreak/>
        <w:t xml:space="preserve">2025. Účinnost návrhu nařízení vlády se navrhuje dnem 1. </w:t>
      </w:r>
      <w:r w:rsidR="00851314">
        <w:t>července</w:t>
      </w:r>
      <w:r>
        <w:t xml:space="preserve"> 2025 v souladu s nabytím účinnosti novely atomového zákona.</w:t>
      </w:r>
    </w:p>
    <w:p w14:paraId="30C94F39" w14:textId="77777777" w:rsidR="00A77B3E" w:rsidRDefault="0074203F">
      <w:pPr>
        <w:pStyle w:val="5"/>
      </w:pPr>
      <w:r>
        <w:t>2.   Zhodnocení platného právního stavu</w:t>
      </w:r>
    </w:p>
    <w:p w14:paraId="35F0FFF2" w14:textId="77777777" w:rsidR="00A77B3E" w:rsidRDefault="0074203F">
      <w:pPr>
        <w:pStyle w:val="9"/>
      </w:pPr>
      <w:r>
        <w:t>Nařízení vlády č. 347/2016 Sb. je prováděcím právním předpisem k zákonu č. 263/2016 Sb., atomový zákon, a v současnosti platné nařízení vlády odpovídá znění atomového zákona ve znění pozdějších předpisů. Tento zákon však bude s účinností od 1. července 2025 novelizován</w:t>
      </w:r>
      <w:r w:rsidR="00851314">
        <w:t>.</w:t>
      </w:r>
      <w:r>
        <w:t xml:space="preserve"> </w:t>
      </w:r>
      <w:r w:rsidR="00851314">
        <w:br/>
        <w:t>V</w:t>
      </w:r>
      <w:r>
        <w:t xml:space="preserve"> návaznosti na změny v něm učiněné, je třeba upravit i toto nařízení vlády a reagovat zejména na § 39 odst. 4 atomového zákona, který říká, že vláda stanoví nařízením sazby poplatků na odbornou činnost SÚJB pro jednotlivé činnosti SÚJB podle § 36. Nově touto činností bude i poskytnutí předběžné informace. Předložený návrh nařízení vlády je v souladu s novelou atomového zákona a jeho obsah je stanoven v mezích uvedených zákonných zmocnění.</w:t>
      </w:r>
    </w:p>
    <w:p w14:paraId="7997B044" w14:textId="77777777" w:rsidR="00A77B3E" w:rsidRDefault="0074203F">
      <w:pPr>
        <w:pStyle w:val="5"/>
      </w:pPr>
      <w:r>
        <w:t>3.   Zhodnocení souladu návrhu právního předpisu s ústavním pořádkem a ostatními součástmi právního řádu České republiky</w:t>
      </w:r>
    </w:p>
    <w:p w14:paraId="4B521A3D" w14:textId="77777777" w:rsidR="00A77B3E" w:rsidRDefault="0074203F">
      <w:pPr>
        <w:pStyle w:val="9"/>
      </w:pPr>
      <w:r>
        <w:t>Návrh právního předpisu je v souladu s ústavním pořádkem a ostatními součástmi pr</w:t>
      </w:r>
      <w:r w:rsidR="00851314">
        <w:t>ávního řádu České republiky a vy</w:t>
      </w:r>
      <w:r>
        <w:t>chází ze zásad pro formulování ustanovení o daních a poplatcích.</w:t>
      </w:r>
    </w:p>
    <w:p w14:paraId="27C5619D" w14:textId="77777777" w:rsidR="00A77B3E" w:rsidRDefault="0074203F">
      <w:pPr>
        <w:pStyle w:val="5"/>
      </w:pPr>
      <w:r>
        <w:t>4.   Zhodnocení souladu návrhu právního předpisu se závazky vyplývajícími pro Českou republiku z jejího členství v Evropské unii</w:t>
      </w:r>
    </w:p>
    <w:p w14:paraId="5A3E9A80" w14:textId="77777777" w:rsidR="00A77B3E" w:rsidRDefault="0074203F">
      <w:pPr>
        <w:pStyle w:val="9"/>
      </w:pPr>
      <w:r>
        <w:t>Předkládaný návrh nařízení vlády nereaguje na předpisy Evropské unie, legislativní záměry a s návrhy předpisů Evropské unie. Předkládaný návrh nařízení vlády není v rozporu s judikaturou soudních orgánů Evropské unie a je v souladu s obecnými zásadami práva Evropské unie (např. zásada právní jistoty, proporcionality a zákazu diskriminace). Na základě těchto skutečností je možné návrh nařízení vlády hodnotit jako plně slučitelný s právem Evropské unie.</w:t>
      </w:r>
    </w:p>
    <w:p w14:paraId="2EBA11DE" w14:textId="77777777" w:rsidR="00A77B3E" w:rsidRDefault="0074203F">
      <w:pPr>
        <w:pStyle w:val="5"/>
      </w:pPr>
      <w:r>
        <w:t>5.   Zhodnocení souladu navrhované právní úpravy s mezinárodními smlouvami, jimiž je Česká republika vázána</w:t>
      </w:r>
    </w:p>
    <w:p w14:paraId="334C44AC" w14:textId="77777777" w:rsidR="00A77B3E" w:rsidRDefault="0074203F">
      <w:pPr>
        <w:pStyle w:val="9"/>
      </w:pPr>
      <w:r>
        <w:t>Navrhovaná právní úprava je v souladu s mezinárodními smlouvami, kterými je Česká republika vázána a které se týkají jaderné bezpečnosti, radiační ochrany, nakládání s radioaktivními odpady a nešíření jaderných zbraní.</w:t>
      </w:r>
    </w:p>
    <w:p w14:paraId="0FF337DB" w14:textId="77777777" w:rsidR="00A77B3E" w:rsidRDefault="0074203F">
      <w:pPr>
        <w:pStyle w:val="5"/>
      </w:pPr>
      <w:r>
        <w:t>6.   Zhodnocení, zda návrh právního předpisu neobsahuje ustanovení, které by bylo svou povahou technickým předpisem podle právního předpisu upravujícího technické požadavky na výrobky</w:t>
      </w:r>
    </w:p>
    <w:p w14:paraId="00B276F9" w14:textId="77777777" w:rsidR="00A77B3E" w:rsidRDefault="0074203F">
      <w:pPr>
        <w:pStyle w:val="9"/>
      </w:pPr>
      <w:r>
        <w:t>Návrh právního předpisu neobsahuje ustanovení, které by bylo svou povahou technickým předpisem podle právního předpisu upravujícího technické požadavky na výrobky.</w:t>
      </w:r>
    </w:p>
    <w:p w14:paraId="598ADA97" w14:textId="77777777" w:rsidR="00A77B3E" w:rsidRDefault="0074203F">
      <w:pPr>
        <w:pStyle w:val="5"/>
      </w:pPr>
      <w:r>
        <w:t>7.   Informace o splnění oznamovací povinnosti podle tohoto právního předpisu (ve vztahu k ne/obsaženým ustanovením, která by byla svou povahou technickým předpisem podle právního předpisu upravujícího technické požadavky na výrobky)</w:t>
      </w:r>
    </w:p>
    <w:p w14:paraId="3EF0AC2C" w14:textId="77777777" w:rsidR="00A77B3E" w:rsidRDefault="0074203F">
      <w:pPr>
        <w:pStyle w:val="9"/>
      </w:pPr>
      <w:r>
        <w:lastRenderedPageBreak/>
        <w:t>Návrh právního předpisu neobsahuje ustanovení, které by bylo svou povahou technickým předpisem podle právního předpisu upravujícího technické požadavky na výrobky.</w:t>
      </w:r>
    </w:p>
    <w:p w14:paraId="3209E6B5" w14:textId="77777777" w:rsidR="00A77B3E" w:rsidRDefault="0074203F">
      <w:pPr>
        <w:pStyle w:val="5"/>
      </w:pPr>
      <w:r>
        <w:t>8.   Informace o konzultaci návrhu právního předpisu s Evropskou centrální bankou a výsledku konzultace, podléhá-li návrh právního předpisu takové konzultaci</w:t>
      </w:r>
    </w:p>
    <w:p w14:paraId="40E4759C" w14:textId="77777777" w:rsidR="00A77B3E" w:rsidRDefault="0074203F">
      <w:pPr>
        <w:pStyle w:val="9"/>
      </w:pPr>
      <w:r>
        <w:t>Návrh právního předpisu nepodléhá konzultaci s Evropskou centrální bankou.</w:t>
      </w:r>
    </w:p>
    <w:p w14:paraId="1780C2EE" w14:textId="77777777" w:rsidR="00A77B3E" w:rsidRDefault="0074203F">
      <w:pPr>
        <w:pStyle w:val="5"/>
      </w:pPr>
      <w:r>
        <w:t>9.   Předpokládaný hospodářský a finanční dopad návrhu právního předpisu na státní rozpočet a ostatní veřejné rozpočty</w:t>
      </w:r>
    </w:p>
    <w:p w14:paraId="41C2F575" w14:textId="77777777" w:rsidR="00A77B3E" w:rsidRDefault="0074203F">
      <w:pPr>
        <w:pStyle w:val="6"/>
      </w:pPr>
      <w:r>
        <w:t>Státní úřad pro jadernou bezpečnost nepředpokládá, že by bylo žádosti o předběžnou informaci užíváno často, předpokládá však, že bude užívána v situacích, kdy bude pro budoucího žadatele výhodné obrátit se na SÚJB s dotazem, jehož zodpovězení bude pro něj znamenat nasměrování jeho budoucí činnosti v oblasti jaderné energie a využívání ionizujícího záření. Současně poplatek za požádání o předběžnou informaci bude podle § 42 atomového zákona příjmem státního rozpočtu, kapitoly Státní úřad pro jadernou bezpečnost. Na ostatní veřejné rozpočty nebude mít předkládaný návrh vliv.</w:t>
      </w:r>
    </w:p>
    <w:p w14:paraId="6F4F70E7" w14:textId="77777777" w:rsidR="00A77B3E" w:rsidRDefault="0074203F">
      <w:pPr>
        <w:pStyle w:val="7"/>
      </w:pPr>
      <w:r>
        <w:t>Jednotlivé sazby poplatků jsou v rámci zákonné meze uvedené v § 39 a byly stanoveny na základě odhadované práce odborných pracovníků SÚJB. Tyto odhady byly vypočteny na základě již v minulosti vykonávané úřední činnosti SÚJB v jednotlivých tematických oblastech. Na základě tě</w:t>
      </w:r>
      <w:r w:rsidR="003121AF">
        <w:t>c</w:t>
      </w:r>
      <w:r>
        <w:t xml:space="preserve">hto historických zkušeností již má SÚJB </w:t>
      </w:r>
      <w:r w:rsidR="00851314">
        <w:t xml:space="preserve">vcelku přesné </w:t>
      </w:r>
      <w:r>
        <w:t>povědomí o tom, kolik hodin práce bude přibližně potřeba pro poskytnutí předběžné informace v dané oblasti.</w:t>
      </w:r>
    </w:p>
    <w:p w14:paraId="55AB413B" w14:textId="65D99C47" w:rsidR="00A77B3E" w:rsidRDefault="00851314">
      <w:pPr>
        <w:pStyle w:val="7"/>
      </w:pPr>
      <w:r>
        <w:t>Z</w:t>
      </w:r>
      <w:r w:rsidR="0074203F">
        <w:t>ákladem pro kalkulaci poplatku pak je průměrná nákladovost odborníka působícího v agendách SÚJB, která je rovněž východiskem pro sestavování závěrečného účtu a návrhu rozpočtu SÚJB. Tato čin</w:t>
      </w:r>
      <w:r w:rsidR="00F80A6A">
        <w:t>ila</w:t>
      </w:r>
      <w:r w:rsidR="0074203F">
        <w:t xml:space="preserve"> pro rok 2023:</w:t>
      </w:r>
    </w:p>
    <w:tbl>
      <w:tblPr>
        <w:tblW w:w="0" w:type="auto"/>
        <w:jc w:val="center"/>
        <w:tblBorders>
          <w:top w:val="single" w:sz="12" w:space="0" w:color="000000"/>
          <w:left w:val="single" w:sz="12" w:space="0" w:color="000000"/>
          <w:bottom w:val="single" w:sz="12" w:space="0" w:color="000000"/>
          <w:right w:val="single" w:sz="12" w:space="0" w:color="000000"/>
        </w:tblBorders>
        <w:tblCellMar>
          <w:top w:w="15" w:type="dxa"/>
          <w:left w:w="15" w:type="dxa"/>
          <w:bottom w:w="15" w:type="dxa"/>
          <w:right w:w="15" w:type="dxa"/>
        </w:tblCellMar>
        <w:tblLook w:val="04A0" w:firstRow="1" w:lastRow="0" w:firstColumn="1" w:lastColumn="0" w:noHBand="0" w:noVBand="1"/>
      </w:tblPr>
      <w:tblGrid>
        <w:gridCol w:w="5058"/>
        <w:gridCol w:w="1701"/>
      </w:tblGrid>
      <w:tr w:rsidR="00840964" w14:paraId="661B8138" w14:textId="77777777" w:rsidTr="00646FA1">
        <w:trPr>
          <w:jc w:val="center"/>
        </w:trPr>
        <w:tc>
          <w:tcPr>
            <w:tcW w:w="5058" w:type="dxa"/>
            <w:tcBorders>
              <w:top w:val="single" w:sz="12" w:space="0" w:color="000000"/>
              <w:bottom w:val="single" w:sz="3" w:space="0" w:color="000000"/>
              <w:right w:val="single" w:sz="3" w:space="0" w:color="000000"/>
            </w:tcBorders>
            <w:tcMar>
              <w:top w:w="85" w:type="dxa"/>
              <w:left w:w="157" w:type="dxa"/>
              <w:bottom w:w="85" w:type="dxa"/>
              <w:right w:w="146" w:type="dxa"/>
            </w:tcMar>
            <w:vAlign w:val="center"/>
            <w:hideMark/>
          </w:tcPr>
          <w:p w14:paraId="25F26341" w14:textId="77777777" w:rsidR="00A77B3E" w:rsidRDefault="0074203F" w:rsidP="00646FA1">
            <w:pPr>
              <w:pStyle w:val="7"/>
              <w:overflowPunct w:val="0"/>
              <w:jc w:val="center"/>
              <w:rPr>
                <w:sz w:val="20"/>
              </w:rPr>
            </w:pPr>
            <w:r>
              <w:rPr>
                <w:sz w:val="20"/>
              </w:rPr>
              <w:br/>
              <w:t>Nákladovost na 1 zaměstnance SÚJB</w:t>
            </w:r>
          </w:p>
        </w:tc>
        <w:tc>
          <w:tcPr>
            <w:tcW w:w="1701" w:type="dxa"/>
            <w:tcBorders>
              <w:top w:val="single" w:sz="12" w:space="0" w:color="000000"/>
              <w:left w:val="single" w:sz="3" w:space="0" w:color="000000"/>
              <w:bottom w:val="single" w:sz="3" w:space="0" w:color="000000"/>
            </w:tcBorders>
            <w:tcMar>
              <w:top w:w="85" w:type="dxa"/>
              <w:left w:w="146" w:type="dxa"/>
              <w:bottom w:w="85" w:type="dxa"/>
              <w:right w:w="157" w:type="dxa"/>
            </w:tcMar>
            <w:vAlign w:val="center"/>
            <w:hideMark/>
          </w:tcPr>
          <w:p w14:paraId="5ED680E4" w14:textId="77777777" w:rsidR="00A77B3E" w:rsidRDefault="0074203F" w:rsidP="00646FA1">
            <w:pPr>
              <w:pStyle w:val="7"/>
              <w:overflowPunct w:val="0"/>
              <w:jc w:val="center"/>
              <w:rPr>
                <w:sz w:val="20"/>
              </w:rPr>
            </w:pPr>
            <w:r>
              <w:rPr>
                <w:sz w:val="20"/>
              </w:rPr>
              <w:br/>
              <w:t>2023</w:t>
            </w:r>
          </w:p>
        </w:tc>
      </w:tr>
      <w:tr w:rsidR="00840964" w14:paraId="1997019E" w14:textId="77777777" w:rsidTr="00646FA1">
        <w:trPr>
          <w:jc w:val="center"/>
        </w:trPr>
        <w:tc>
          <w:tcPr>
            <w:tcW w:w="5058" w:type="dxa"/>
            <w:tcBorders>
              <w:top w:val="single" w:sz="3" w:space="0" w:color="000000"/>
              <w:bottom w:val="single" w:sz="3" w:space="0" w:color="000000"/>
              <w:right w:val="single" w:sz="3" w:space="0" w:color="000000"/>
            </w:tcBorders>
            <w:tcMar>
              <w:top w:w="85" w:type="dxa"/>
              <w:left w:w="157" w:type="dxa"/>
              <w:bottom w:w="85" w:type="dxa"/>
              <w:right w:w="146" w:type="dxa"/>
            </w:tcMar>
            <w:vAlign w:val="center"/>
            <w:hideMark/>
          </w:tcPr>
          <w:p w14:paraId="48392BBE" w14:textId="684D4401" w:rsidR="00A77B3E" w:rsidRDefault="0074203F" w:rsidP="00646FA1">
            <w:pPr>
              <w:pStyle w:val="7"/>
              <w:overflowPunct w:val="0"/>
              <w:jc w:val="center"/>
              <w:rPr>
                <w:sz w:val="20"/>
              </w:rPr>
            </w:pPr>
            <w:r>
              <w:rPr>
                <w:sz w:val="20"/>
              </w:rPr>
              <w:br/>
              <w:t>Výdaje na 1 osoboden v Kč/os</w:t>
            </w:r>
            <w:r w:rsidR="00646FA1">
              <w:rPr>
                <w:sz w:val="20"/>
              </w:rPr>
              <w:t>obo</w:t>
            </w:r>
            <w:r>
              <w:rPr>
                <w:sz w:val="20"/>
              </w:rPr>
              <w:t>den</w:t>
            </w:r>
          </w:p>
        </w:tc>
        <w:tc>
          <w:tcPr>
            <w:tcW w:w="1701" w:type="dxa"/>
            <w:tcBorders>
              <w:top w:val="single" w:sz="3" w:space="0" w:color="000000"/>
              <w:left w:val="single" w:sz="3" w:space="0" w:color="000000"/>
              <w:bottom w:val="single" w:sz="3" w:space="0" w:color="000000"/>
            </w:tcBorders>
            <w:tcMar>
              <w:top w:w="85" w:type="dxa"/>
              <w:left w:w="146" w:type="dxa"/>
              <w:bottom w:w="85" w:type="dxa"/>
              <w:right w:w="157" w:type="dxa"/>
            </w:tcMar>
            <w:vAlign w:val="center"/>
            <w:hideMark/>
          </w:tcPr>
          <w:p w14:paraId="544FEF2A" w14:textId="77777777" w:rsidR="00A77B3E" w:rsidRDefault="0074203F" w:rsidP="00646FA1">
            <w:pPr>
              <w:pStyle w:val="7"/>
              <w:overflowPunct w:val="0"/>
              <w:jc w:val="center"/>
              <w:rPr>
                <w:sz w:val="20"/>
              </w:rPr>
            </w:pPr>
            <w:r>
              <w:rPr>
                <w:sz w:val="20"/>
              </w:rPr>
              <w:br/>
              <w:t>12 960,56</w:t>
            </w:r>
          </w:p>
        </w:tc>
      </w:tr>
      <w:tr w:rsidR="00840964" w14:paraId="136A65D8" w14:textId="77777777" w:rsidTr="00646FA1">
        <w:trPr>
          <w:jc w:val="center"/>
        </w:trPr>
        <w:tc>
          <w:tcPr>
            <w:tcW w:w="5058" w:type="dxa"/>
            <w:tcBorders>
              <w:top w:val="single" w:sz="3" w:space="0" w:color="000000"/>
              <w:bottom w:val="single" w:sz="16" w:space="0" w:color="000000"/>
              <w:right w:val="single" w:sz="3" w:space="0" w:color="000000"/>
            </w:tcBorders>
            <w:tcMar>
              <w:top w:w="85" w:type="dxa"/>
              <w:left w:w="157" w:type="dxa"/>
              <w:bottom w:w="85" w:type="dxa"/>
              <w:right w:w="146" w:type="dxa"/>
            </w:tcMar>
            <w:vAlign w:val="center"/>
            <w:hideMark/>
          </w:tcPr>
          <w:p w14:paraId="5125B854" w14:textId="7736CFFF" w:rsidR="00A77B3E" w:rsidRDefault="0074203F" w:rsidP="00646FA1">
            <w:pPr>
              <w:pStyle w:val="7"/>
              <w:overflowPunct w:val="0"/>
              <w:jc w:val="center"/>
              <w:rPr>
                <w:sz w:val="20"/>
              </w:rPr>
            </w:pPr>
            <w:r>
              <w:rPr>
                <w:sz w:val="20"/>
              </w:rPr>
              <w:br/>
              <w:t>Výdaje na 1 osobohodinu v Kč/os</w:t>
            </w:r>
            <w:r w:rsidR="00646FA1">
              <w:rPr>
                <w:sz w:val="20"/>
              </w:rPr>
              <w:t>obo</w:t>
            </w:r>
            <w:r>
              <w:rPr>
                <w:sz w:val="20"/>
              </w:rPr>
              <w:t>hodinu</w:t>
            </w:r>
          </w:p>
        </w:tc>
        <w:tc>
          <w:tcPr>
            <w:tcW w:w="1701" w:type="dxa"/>
            <w:tcBorders>
              <w:top w:val="single" w:sz="3" w:space="0" w:color="000000"/>
              <w:left w:val="single" w:sz="3" w:space="0" w:color="000000"/>
              <w:bottom w:val="single" w:sz="16" w:space="0" w:color="000000"/>
            </w:tcBorders>
            <w:tcMar>
              <w:top w:w="85" w:type="dxa"/>
              <w:left w:w="146" w:type="dxa"/>
              <w:bottom w:w="85" w:type="dxa"/>
              <w:right w:w="157" w:type="dxa"/>
            </w:tcMar>
            <w:vAlign w:val="center"/>
            <w:hideMark/>
          </w:tcPr>
          <w:p w14:paraId="2F1D559E" w14:textId="77777777" w:rsidR="00A77B3E" w:rsidRDefault="0074203F" w:rsidP="00646FA1">
            <w:pPr>
              <w:pStyle w:val="7"/>
              <w:overflowPunct w:val="0"/>
              <w:jc w:val="center"/>
              <w:rPr>
                <w:sz w:val="20"/>
              </w:rPr>
            </w:pPr>
            <w:r>
              <w:rPr>
                <w:sz w:val="20"/>
              </w:rPr>
              <w:br/>
              <w:t>1 620,07</w:t>
            </w:r>
          </w:p>
        </w:tc>
      </w:tr>
    </w:tbl>
    <w:p w14:paraId="73D1C1F8" w14:textId="77777777" w:rsidR="00A77B3E" w:rsidRDefault="00A77B3E">
      <w:pPr>
        <w:pStyle w:val="7"/>
      </w:pPr>
    </w:p>
    <w:p w14:paraId="510B3144" w14:textId="77777777" w:rsidR="00A77B3E" w:rsidRDefault="0074203F">
      <w:pPr>
        <w:pStyle w:val="7"/>
      </w:pPr>
      <w:r>
        <w:t>Uvedený údaj zahrnuje všechny relevantní složky, které se do hodnocení SÚJB promítají, tj. personální náklady, režijní náklady na provoz budov, administrativu, služby pro podporu dozoru, krizového řízení, mezinárodní spolupráce a majetkového vybavení.</w:t>
      </w:r>
    </w:p>
    <w:p w14:paraId="356DE661" w14:textId="77777777" w:rsidR="00A77B3E" w:rsidRDefault="0074203F">
      <w:pPr>
        <w:pStyle w:val="7"/>
      </w:pPr>
      <w:r>
        <w:t xml:space="preserve">​Výsledný poplatek tedy byl vypočten jako součin počtu očekávaných </w:t>
      </w:r>
      <w:r w:rsidR="00851314">
        <w:t xml:space="preserve">odpracovaných </w:t>
      </w:r>
      <w:r>
        <w:t>člověkohodin</w:t>
      </w:r>
      <w:r w:rsidR="00851314">
        <w:t xml:space="preserve"> odborným pracovníkem SÚJB</w:t>
      </w:r>
      <w:r>
        <w:t xml:space="preserve"> pro poskytnutí požadované předběžné informace a částky 1620 Kč.</w:t>
      </w:r>
    </w:p>
    <w:p w14:paraId="542BE78F" w14:textId="77777777" w:rsidR="00A77B3E" w:rsidRDefault="0074203F">
      <w:pPr>
        <w:pStyle w:val="5"/>
      </w:pPr>
      <w:r>
        <w:t>10.   Předpokládaný dopad návrhu právního předpisu na práva a povinnosti fyzických a právnických osob</w:t>
      </w:r>
    </w:p>
    <w:p w14:paraId="335F4E5D" w14:textId="77777777" w:rsidR="00A77B3E" w:rsidRDefault="0074203F">
      <w:pPr>
        <w:pStyle w:val="9"/>
      </w:pPr>
      <w:r>
        <w:lastRenderedPageBreak/>
        <w:t>​Návrh právního předpisu rozšiřuje práva fyzických a právnických osob vůči státu, neboť jim dává možnost žádat o ​tzv. „předběžnou informaci“</w:t>
      </w:r>
      <w:r w:rsidR="00851314">
        <w:t>, nejedná se tedy o obligatorní fázi licenčního procesu</w:t>
      </w:r>
      <w:r>
        <w:t>. ​</w:t>
      </w:r>
    </w:p>
    <w:p w14:paraId="6A4E1176" w14:textId="77777777" w:rsidR="00A77B3E" w:rsidRDefault="0074203F">
      <w:pPr>
        <w:pStyle w:val="5"/>
      </w:pPr>
      <w:r>
        <w:t>11.   Předpokládaný dopad návrhu právního předpisu na podnikatelské prostředí České republiky</w:t>
      </w:r>
    </w:p>
    <w:p w14:paraId="5000C73D" w14:textId="77777777" w:rsidR="00A77B3E" w:rsidRDefault="0074203F">
      <w:pPr>
        <w:pStyle w:val="9"/>
      </w:pPr>
      <w:r>
        <w:t>Poskytnutí předběžné informace bude mít pro žadatele pozitivní efekt, protože jako protihodnotu za poplatek získá informaci, díky jejímuž užití potenciálně ušetří do budoucna více prostředků, než kolik jich vydal za poskytnutí předběžné informace, například tím, že nebude už určité alternativy své budoucí investice dále rozpracovávat, dokáže lépe plánovat svou činnost v rámci dalšího správního řízení a komunikace s jeho dodavateli. Na podnikatelské prostředí a ostatní veřejné rozpočty nebude mít zavedení poplatku a určení jeho konkrétních výší žádný vliv.</w:t>
      </w:r>
      <w:r w:rsidR="00666444">
        <w:t xml:space="preserve"> Návrh nařízení vlády byl před odesláním do mezirezortního připomínkového řízení zveřejněn a odeslán ke konzultacím k nejvýznamnějším stakeholderům v oblasti mírového využívání jaderné energie a ionizujícího záření.</w:t>
      </w:r>
    </w:p>
    <w:p w14:paraId="48E8542A" w14:textId="77777777" w:rsidR="00A77B3E" w:rsidRDefault="0074203F">
      <w:pPr>
        <w:pStyle w:val="5"/>
      </w:pPr>
      <w:r>
        <w:t>12.   Předpokládaný sociální dopad návrhu právního předpisu, včetně dopadu na specifické skupiny obyvatel, především na osoby sociálně slabé, osoby se zdravotním postižením a národnostní menšiny</w:t>
      </w:r>
    </w:p>
    <w:p w14:paraId="13F1A368" w14:textId="77777777" w:rsidR="00A77B3E" w:rsidRDefault="0074203F">
      <w:pPr>
        <w:pStyle w:val="9"/>
      </w:pPr>
      <w:r>
        <w:t>Návrh nařízení vlády neobsahuje žádné ustanovení, které by mělo mít sociální dopad na jakoukoliv skupinu obyvatel.</w:t>
      </w:r>
    </w:p>
    <w:p w14:paraId="38167F95" w14:textId="77777777" w:rsidR="00A77B3E" w:rsidRDefault="0074203F">
      <w:pPr>
        <w:pStyle w:val="5"/>
      </w:pPr>
      <w:r>
        <w:t>13.   Předpokládaný dopad návrhu právního předpisu na rovnost mužů a žen, upravuje-li návrh právního předpisu postavení fyzických osob nebo se tohoto postavení dotýká</w:t>
      </w:r>
    </w:p>
    <w:p w14:paraId="522956D0" w14:textId="77777777" w:rsidR="00A77B3E" w:rsidRDefault="0074203F">
      <w:pPr>
        <w:pStyle w:val="9"/>
      </w:pPr>
      <w:r>
        <w:t>Na rovnost mužů a žen nebude mít návrh nařízení vlády dopad, obsah nařízení vlády je neutrální.</w:t>
      </w:r>
    </w:p>
    <w:p w14:paraId="16F441AE" w14:textId="77777777" w:rsidR="00A77B3E" w:rsidRDefault="0074203F">
      <w:pPr>
        <w:pStyle w:val="5"/>
      </w:pPr>
      <w:r>
        <w:t>14.   Předpokládaný dopad návrhu právního předpisu na životní prostředí</w:t>
      </w:r>
    </w:p>
    <w:p w14:paraId="33887B11" w14:textId="77777777" w:rsidR="00A77B3E" w:rsidRDefault="0074203F">
      <w:pPr>
        <w:pStyle w:val="9"/>
      </w:pPr>
      <w:r>
        <w:t>Návrh nařízení vlády nebude mít negativní vliv na životní prostředí.</w:t>
      </w:r>
    </w:p>
    <w:p w14:paraId="15E60043" w14:textId="77777777" w:rsidR="00A77B3E" w:rsidRDefault="0074203F">
      <w:pPr>
        <w:pStyle w:val="5"/>
      </w:pPr>
      <w:r>
        <w:t>15.   Předpokládaný dopad návrhu právního předpisu na ochranu práv dětí</w:t>
      </w:r>
    </w:p>
    <w:p w14:paraId="33A4CFF3" w14:textId="77777777" w:rsidR="00A77B3E" w:rsidRDefault="0074203F">
      <w:pPr>
        <w:pStyle w:val="9"/>
      </w:pPr>
      <w:r>
        <w:t>Návrh nařízení vlády nebude mít vliv na ochranu práv dětí.</w:t>
      </w:r>
    </w:p>
    <w:p w14:paraId="54CA6D4D" w14:textId="77777777" w:rsidR="00A77B3E" w:rsidRDefault="0074203F">
      <w:pPr>
        <w:pStyle w:val="5"/>
      </w:pPr>
      <w:r>
        <w:t>16.   Předpokládaný dopad návrhu právního předpisu na bezpečnost nebo obranu státu</w:t>
      </w:r>
    </w:p>
    <w:p w14:paraId="74CFFC82" w14:textId="77777777" w:rsidR="00A77B3E" w:rsidRDefault="0074203F">
      <w:pPr>
        <w:pStyle w:val="9"/>
      </w:pPr>
      <w:r>
        <w:t>​Návrh nařízení ​vlády nebude mít vliv na bezpečnost nebo ​obranu státu.</w:t>
      </w:r>
    </w:p>
    <w:p w14:paraId="6A1709C0" w14:textId="77777777" w:rsidR="00A77B3E" w:rsidRDefault="0074203F">
      <w:pPr>
        <w:pStyle w:val="5"/>
      </w:pPr>
      <w:r>
        <w:t>17.   Předpokládaný dopad návrhu právního předpisu ve vztahu k ochraně soukromí a osobních údajů</w:t>
      </w:r>
    </w:p>
    <w:p w14:paraId="10DDF4C7" w14:textId="77777777" w:rsidR="00A77B3E" w:rsidRDefault="0074203F">
      <w:pPr>
        <w:pStyle w:val="9"/>
      </w:pPr>
      <w:r>
        <w:t xml:space="preserve">Navrhovaná právní úprava se netýká ochrany osobních údajů, a proto není ani hodnocen soulad se zákonem č. 110/2019 Sb., o zpracování osobních údajů, a také s nařízením Evropského parlamentu a Rady (EU) č. 2016/679, o ochraně fyzických osob v souvislosti se zpracováním osobních údajů </w:t>
      </w:r>
      <w:r>
        <w:lastRenderedPageBreak/>
        <w:t>a o volném pohybu těchto údajů a o zrušení směrnice 95/46/ES (obecné nařízení o ochraně osobních údajů). Návrh nařízení vlády nezvyšuje množství zpracovávaných osobních údajů ani nemění způsob nakládání s nimi.</w:t>
      </w:r>
    </w:p>
    <w:p w14:paraId="2E042A98" w14:textId="77777777" w:rsidR="00A77B3E" w:rsidRDefault="0074203F">
      <w:pPr>
        <w:pStyle w:val="5"/>
      </w:pPr>
      <w:r>
        <w:t>18.   Zhodnocení, zda návrhem právního předpisu není zakládána veřejná podpora</w:t>
      </w:r>
    </w:p>
    <w:p w14:paraId="70E2DAD0" w14:textId="77777777" w:rsidR="00A77B3E" w:rsidRDefault="0074203F">
      <w:pPr>
        <w:pStyle w:val="9"/>
      </w:pPr>
      <w:r>
        <w:t>Návrhem právního předpisu není zakládána veřejná podpora.</w:t>
      </w:r>
    </w:p>
    <w:p w14:paraId="49F15659" w14:textId="77777777" w:rsidR="00A77B3E" w:rsidRDefault="0074203F">
      <w:pPr>
        <w:pStyle w:val="5"/>
      </w:pPr>
      <w:r>
        <w:t>19.   Zhodnocení korupčních rizik návrhu právního předpisu</w:t>
      </w:r>
    </w:p>
    <w:p w14:paraId="4A8A66AE" w14:textId="77777777" w:rsidR="00A77B3E" w:rsidRDefault="0074203F">
      <w:pPr>
        <w:pStyle w:val="9"/>
      </w:pPr>
      <w:r>
        <w:t>Navrhovaná právní úprava neobsahuje ustanovení, která by byla předmětem korupčního rizika.</w:t>
      </w:r>
    </w:p>
    <w:p w14:paraId="3A91EC97" w14:textId="77777777" w:rsidR="00A77B3E" w:rsidRDefault="0074203F">
      <w:pPr>
        <w:pStyle w:val="5"/>
      </w:pPr>
      <w:r>
        <w:t>20.   Odůvodnění případného návrhu, aby Poslanecká sněmovna vyslovila s návrhem právního předpisu souhlas již v prvém čtení (pokud se navrhuje)</w:t>
      </w:r>
    </w:p>
    <w:p w14:paraId="0B2E2C5C" w14:textId="77777777" w:rsidR="00A77B3E" w:rsidRDefault="0074203F">
      <w:pPr>
        <w:pStyle w:val="9"/>
      </w:pPr>
      <w:r>
        <w:t>Nenavrhuje se.</w:t>
      </w:r>
    </w:p>
    <w:p w14:paraId="05686E30" w14:textId="77777777" w:rsidR="00A77B3E" w:rsidRDefault="0074203F">
      <w:pPr>
        <w:pStyle w:val="5"/>
      </w:pPr>
      <w:r>
        <w:t>21.   Odůvodnění případného návrhu, aby navrhovaná právní úprava nabyla účinnosti dříve než počátkem patnáctého dne následujícího po dni jejího vyhlášení (pokud se navrhuje)</w:t>
      </w:r>
    </w:p>
    <w:p w14:paraId="1257D3B9" w14:textId="77777777" w:rsidR="00A77B3E" w:rsidRDefault="0074203F">
      <w:pPr>
        <w:pStyle w:val="9"/>
      </w:pPr>
      <w:r>
        <w:t>Nenavrhuje se.</w:t>
      </w:r>
    </w:p>
    <w:p w14:paraId="4E622118" w14:textId="77777777" w:rsidR="00A77B3E" w:rsidRDefault="0074203F">
      <w:pPr>
        <w:pStyle w:val="5"/>
      </w:pPr>
      <w:r>
        <w:t>22.   Odůvodnění odchylek v postupu projednání návrhu právního předpisu (pokud se navrhují a jsou odlišné od předchozích) (jsou-li navrhovány, může být konzumováno přechozími kapitolami)</w:t>
      </w:r>
    </w:p>
    <w:p w14:paraId="259C7B19" w14:textId="77777777" w:rsidR="00A77B3E" w:rsidRDefault="0074203F">
      <w:pPr>
        <w:pStyle w:val="9"/>
      </w:pPr>
      <w:r>
        <w:t>Nenavrhuje se.</w:t>
      </w:r>
    </w:p>
    <w:p w14:paraId="7F2B3EB4" w14:textId="77777777" w:rsidR="00A77B3E" w:rsidRDefault="00A77B3E">
      <w:pPr>
        <w:pStyle w:val="1"/>
      </w:pPr>
    </w:p>
    <w:p w14:paraId="39116A50" w14:textId="77777777" w:rsidR="00A77B3E" w:rsidRDefault="0074203F">
      <w:pPr>
        <w:pStyle w:val="4"/>
      </w:pPr>
      <w:r>
        <w:t>II. Zvláštní část</w:t>
      </w:r>
    </w:p>
    <w:p w14:paraId="6C2860B1" w14:textId="77777777" w:rsidR="00A77B3E" w:rsidRDefault="003121AF">
      <w:pPr>
        <w:pStyle w:val="3"/>
      </w:pPr>
      <w:r>
        <w:t>K čl. I</w:t>
      </w:r>
    </w:p>
    <w:p w14:paraId="64125A23" w14:textId="77777777" w:rsidR="00A77B3E" w:rsidRDefault="0074203F">
      <w:pPr>
        <w:pStyle w:val="10"/>
      </w:pPr>
      <w:r>
        <w:t>K § 2 písm. a) bod 1, § 2 písm. b) bod 1, § 2 písm. c) bod 1 a § 3 písm. a) bod 1</w:t>
      </w:r>
    </w:p>
    <w:p w14:paraId="2F18EA06" w14:textId="77777777" w:rsidR="00A77B3E" w:rsidRDefault="0074203F">
      <w:pPr>
        <w:pStyle w:val="11"/>
      </w:pPr>
      <w:r>
        <w:t>​Návrh nařízení upravuje stávající pojem</w:t>
      </w:r>
      <w:r w:rsidR="003121AF" w:rsidRPr="003121AF">
        <w:t xml:space="preserve"> energetického jaderného zařízení </w:t>
      </w:r>
      <w:r>
        <w:t>a vypouští slova, která znamenala, že energetické jaderné zařízení ​se jmenovitým tepelným výkonem ​nižším nebo rovným 50 MW</w:t>
      </w:r>
      <w:r w:rsidR="003121AF">
        <w:t xml:space="preserve">, které zároveň </w:t>
      </w:r>
      <w:r w:rsidR="00666444">
        <w:t xml:space="preserve">ale </w:t>
      </w:r>
      <w:r w:rsidR="003121AF">
        <w:t>není výzkumným jaderným zařízením,</w:t>
      </w:r>
      <w:r>
        <w:t xml:space="preserve"> není zatíženo ​sazbou poplatku za žádost. ​</w:t>
      </w:r>
      <w:r w:rsidR="003121AF">
        <w:t>Tato zvláštní kategorie energetických jaderných zařízení se jmenovitým tepelným výkonem vyšším než 50 MW doposud nebyla a do budoucna ani nebude nikde jinde v právním řádu ČR upravena.</w:t>
      </w:r>
      <w:r w:rsidR="00867C28">
        <w:t xml:space="preserve"> </w:t>
      </w:r>
      <w:r w:rsidR="003121AF">
        <w:t>P</w:t>
      </w:r>
      <w:r>
        <w:t xml:space="preserve">oplatkem budou </w:t>
      </w:r>
      <w:r w:rsidR="003121AF">
        <w:t xml:space="preserve">nově </w:t>
      </w:r>
      <w:r>
        <w:t>zatížena všechna energetická ​jaderná zařízení</w:t>
      </w:r>
      <w:r w:rsidR="003121AF">
        <w:t>, což by do budoucna mělo pokrýt i případné „mikroreaktory“, které by mohly mít i výkon nižší než je 50 MW a mohly by mít komerční využití.</w:t>
      </w:r>
    </w:p>
    <w:p w14:paraId="69D6C4F0" w14:textId="77777777" w:rsidR="00A77B3E" w:rsidRDefault="0074203F">
      <w:pPr>
        <w:pStyle w:val="10"/>
      </w:pPr>
      <w:r>
        <w:t>K § 2 písm. a) bod 3, § 2 písm. b) bod 3, § 2 písm. c) bod 3 a § 3 písm. a) bod 2</w:t>
      </w:r>
    </w:p>
    <w:p w14:paraId="6F4E2671" w14:textId="3785B767" w:rsidR="00A77B3E" w:rsidRDefault="0074203F">
      <w:pPr>
        <w:pStyle w:val="9"/>
      </w:pPr>
      <w:r>
        <w:lastRenderedPageBreak/>
        <w:t xml:space="preserve">​Návrh nařízení ​nově </w:t>
      </w:r>
      <w:r w:rsidR="003121AF">
        <w:t>zavádí sazbu poplatku pro kategorii</w:t>
      </w:r>
      <w:r>
        <w:t xml:space="preserve"> výzkumné ​jaderné zařízení s nenulovým výkonem. Doposud </w:t>
      </w:r>
      <w:r w:rsidR="003121AF">
        <w:t>byla nařízením vlády upravena jen sazba poplatku pro</w:t>
      </w:r>
      <w:r>
        <w:t xml:space="preserve"> výzkumné jaderné zařízení s</w:t>
      </w:r>
      <w:r w:rsidR="003121AF">
        <w:t>e</w:t>
      </w:r>
      <w:r>
        <w:t xml:space="preserve"> jmenovi</w:t>
      </w:r>
      <w:r w:rsidR="003121AF">
        <w:t>tým tepelným výkonem do 50 MW. Sazba poplatku pro v</w:t>
      </w:r>
      <w:r>
        <w:t>ýzkumné ​jaderné zařízení se ​jmenovitým tepelným výkonem o 50 MW nebo vyšším upraven</w:t>
      </w:r>
      <w:r w:rsidR="003121AF">
        <w:t>a</w:t>
      </w:r>
      <w:r>
        <w:t xml:space="preserve"> nebyl</w:t>
      </w:r>
      <w:r w:rsidR="003121AF">
        <w:t>a. Navrhovanou úpravou dojde k tomu, že bude sazba poplatku stanovena pro všechna výzkumná jaderná zařízení bez ohledu na jejich výkon</w:t>
      </w:r>
      <w:r w:rsidR="00FC3B0C">
        <w:t>, což pokryje i možný technologický vývoj v této oblasti a případy, které nebyly doposud právním řádem předpokládány</w:t>
      </w:r>
      <w:r w:rsidR="003121AF">
        <w:t xml:space="preserve">. U výzkumných jaderných zařízení s nulovým výkonem (v současnosti v ČR například jaderný reaktor </w:t>
      </w:r>
      <w:r w:rsidR="00FC3B0C" w:rsidRPr="00FC3B0C">
        <w:t>LR-0 v CV Řež s. r. o.</w:t>
      </w:r>
      <w:bookmarkStart w:id="0" w:name="_GoBack"/>
      <w:bookmarkEnd w:id="0"/>
      <w:r w:rsidR="00646FA1">
        <w:t>,</w:t>
      </w:r>
      <w:r w:rsidR="00FC3B0C" w:rsidRPr="00FC3B0C">
        <w:t xml:space="preserve"> v Řeži a školní reaktor VR-1 na Fakultě jaderné a fyzikálně inženýrské ČVUT</w:t>
      </w:r>
      <w:r w:rsidR="003121AF">
        <w:t>)</w:t>
      </w:r>
      <w:r w:rsidR="00FC3B0C">
        <w:t xml:space="preserve"> je stanovena sazba nižší a u ostatních výzkumných jaderných reaktorů (výzkumné reaktory nenulového výkonu) sazba vyšší</w:t>
      </w:r>
      <w:r w:rsidR="00666444">
        <w:t xml:space="preserve"> (v současnosti v ČR například jaderný reaktor </w:t>
      </w:r>
      <w:r w:rsidR="00666444" w:rsidRPr="00666444">
        <w:t>LVR-15</w:t>
      </w:r>
      <w:r w:rsidR="00666444">
        <w:t>)</w:t>
      </w:r>
      <w:r w:rsidR="00FC3B0C">
        <w:t xml:space="preserve">. I tato vyšší sazba je však nižší než sazba u energetických jaderných zařízení. </w:t>
      </w:r>
    </w:p>
    <w:p w14:paraId="2425B58A" w14:textId="77777777" w:rsidR="00A77B3E" w:rsidRDefault="0074203F">
      <w:pPr>
        <w:pStyle w:val="10"/>
      </w:pPr>
      <w:r>
        <w:t>K § 3a</w:t>
      </w:r>
    </w:p>
    <w:p w14:paraId="55B2259B" w14:textId="0CD67096" w:rsidR="00A77B3E" w:rsidRDefault="0074203F">
      <w:pPr>
        <w:pStyle w:val="6"/>
      </w:pPr>
      <w:r>
        <w:t xml:space="preserve">V tomto ustanovení je navrhováno rozčlenit do pěti samostatných </w:t>
      </w:r>
      <w:r w:rsidR="00D50667">
        <w:t xml:space="preserve">písmen v odst. 1 </w:t>
      </w:r>
      <w:r>
        <w:t>sazbu poplatku za požádání o předběžnou informaci, a to podle obsahu žádosti. Poslední tři odstavce tohoto paragrafu jsou věnovány případům, kdy je poplatek snížený, nebo se žádost týká více kategorií.</w:t>
      </w:r>
    </w:p>
    <w:p w14:paraId="2E59872C" w14:textId="77777777" w:rsidR="00A77B3E" w:rsidRDefault="0074203F">
      <w:pPr>
        <w:pStyle w:val="8"/>
      </w:pPr>
      <w:r>
        <w:t xml:space="preserve">​Sazby poplatků vycházejí z ohodnocení náročnosti </w:t>
      </w:r>
      <w:r w:rsidR="003121AF">
        <w:t xml:space="preserve">správních </w:t>
      </w:r>
      <w:r>
        <w:t>činností nut</w:t>
      </w:r>
      <w:r w:rsidR="003121AF">
        <w:t>n</w:t>
      </w:r>
      <w:r>
        <w:t>ých pro vydání předběžné informace.</w:t>
      </w:r>
    </w:p>
    <w:p w14:paraId="3BA370FC" w14:textId="77777777" w:rsidR="00A77B3E" w:rsidRDefault="0074203F">
      <w:pPr>
        <w:pStyle w:val="10"/>
      </w:pPr>
      <w:r>
        <w:t>K § 3a odst. 1</w:t>
      </w:r>
      <w:r w:rsidR="00C45E3B">
        <w:t xml:space="preserve"> písm. a)</w:t>
      </w:r>
    </w:p>
    <w:p w14:paraId="083250C3" w14:textId="3ACBAC77" w:rsidR="00A77B3E" w:rsidRDefault="00F80A6A">
      <w:pPr>
        <w:pStyle w:val="9"/>
      </w:pPr>
      <w:r>
        <w:t>Toto písmeno</w:t>
      </w:r>
      <w:r w:rsidR="0074203F">
        <w:t xml:space="preserve"> se týká poplatků v oblasti činnosti související s využíváním jaderné energie. Byly stanoveny celkem 4 cenové skupiny</w:t>
      </w:r>
      <w:r w:rsidR="00FC3B0C">
        <w:t xml:space="preserve"> podle náročnosti</w:t>
      </w:r>
      <w:r>
        <w:t xml:space="preserve"> správních činností</w:t>
      </w:r>
      <w:r w:rsidR="00FC3B0C">
        <w:t xml:space="preserve">. V rámci </w:t>
      </w:r>
      <w:r>
        <w:t>bodu 19.</w:t>
      </w:r>
      <w:r w:rsidR="0074203F">
        <w:t xml:space="preserve"> </w:t>
      </w:r>
      <w:r w:rsidR="00FC3B0C">
        <w:t>je zavedena zbytková kategorie</w:t>
      </w:r>
      <w:r w:rsidR="0074203F">
        <w:t xml:space="preserve"> s nejnižším poplatkem</w:t>
      </w:r>
      <w:r w:rsidR="00FC3B0C">
        <w:t xml:space="preserve">, která pokrývá všechny jiné oblasti činnosti související s využíváním jaderné energie než uvedené v předchozích </w:t>
      </w:r>
      <w:r>
        <w:t>bodech</w:t>
      </w:r>
      <w:r w:rsidR="0074203F">
        <w:t>.</w:t>
      </w:r>
    </w:p>
    <w:p w14:paraId="0D50FAD2" w14:textId="77777777" w:rsidR="00A77B3E" w:rsidRDefault="00C45E3B">
      <w:pPr>
        <w:pStyle w:val="10"/>
      </w:pPr>
      <w:r>
        <w:t>K § 3a odst. 1 písm. b)</w:t>
      </w:r>
    </w:p>
    <w:p w14:paraId="76B303AE" w14:textId="32A424ED" w:rsidR="00A77B3E" w:rsidRDefault="00F80A6A">
      <w:pPr>
        <w:pStyle w:val="9"/>
      </w:pPr>
      <w:r>
        <w:t>Toto písmeno</w:t>
      </w:r>
      <w:r w:rsidR="0074203F">
        <w:t xml:space="preserve"> se týká poplatků v oblasti nakládání s radioaktivními odpady a vyřazování z provozu. Byly stanoveny celkem 3 cenové skupiny.</w:t>
      </w:r>
    </w:p>
    <w:p w14:paraId="4CA12FA8" w14:textId="77777777" w:rsidR="00A77B3E" w:rsidRDefault="0074203F">
      <w:pPr>
        <w:pStyle w:val="10"/>
      </w:pPr>
      <w:r>
        <w:t xml:space="preserve">K § 3a odst. </w:t>
      </w:r>
      <w:r w:rsidR="00C45E3B">
        <w:t>1 písm. c)</w:t>
      </w:r>
    </w:p>
    <w:p w14:paraId="5EAE2D33" w14:textId="5E296DD0" w:rsidR="00A77B3E" w:rsidRDefault="00F80A6A">
      <w:pPr>
        <w:pStyle w:val="9"/>
      </w:pPr>
      <w:r>
        <w:t>Toto písmeno</w:t>
      </w:r>
      <w:r w:rsidR="0074203F">
        <w:t xml:space="preserve"> se týká poplatků v oblasti schvalování typu výrobku a přepravy. </w:t>
      </w:r>
      <w:r w:rsidR="00FC3B0C">
        <w:t>Rozdělení zde kopíruje kategorie schvalování typu výrobků podle atomového zákona uvedené v § 137</w:t>
      </w:r>
      <w:r w:rsidR="0074203F">
        <w:t>.</w:t>
      </w:r>
    </w:p>
    <w:p w14:paraId="5B08F051" w14:textId="77777777" w:rsidR="00A77B3E" w:rsidRDefault="0074203F">
      <w:pPr>
        <w:pStyle w:val="10"/>
      </w:pPr>
      <w:r>
        <w:t xml:space="preserve">K § 3a odst. </w:t>
      </w:r>
      <w:r w:rsidR="00C45E3B">
        <w:t>1 písm. d)</w:t>
      </w:r>
    </w:p>
    <w:p w14:paraId="00F837C2" w14:textId="76795E14" w:rsidR="00867C28" w:rsidRDefault="00F80A6A" w:rsidP="00FC3B0C">
      <w:pPr>
        <w:pStyle w:val="9"/>
      </w:pPr>
      <w:r>
        <w:t>Toto písmeno</w:t>
      </w:r>
      <w:r w:rsidR="0074203F">
        <w:t xml:space="preserve"> se týká poplatků v oblasti čin</w:t>
      </w:r>
      <w:r w:rsidR="00FC3B0C">
        <w:t>n</w:t>
      </w:r>
      <w:r w:rsidR="0074203F">
        <w:t xml:space="preserve">osti v rámci expozičních situací a poskytování služeb významných z hlediska radiační ochrany na pracovišti IV. kategorie. Byť je sazba stejná u všech písmen tohoto odstavce, rozčlenění na písmena je nutné z důvodu možné žádosti zahrnující více kategorií v tomto odstavci a případného součtu sazeb podle odst. </w:t>
      </w:r>
      <w:r>
        <w:t>4</w:t>
      </w:r>
      <w:r w:rsidR="0074203F">
        <w:t xml:space="preserve"> tohoto paragrafu.</w:t>
      </w:r>
      <w:r w:rsidR="00FC3B0C">
        <w:t xml:space="preserve"> Pracoviště IV. kategorie jsou z technického i administrativního </w:t>
      </w:r>
      <w:r w:rsidR="00666444">
        <w:t xml:space="preserve">pohledu </w:t>
      </w:r>
      <w:r w:rsidR="00FC3B0C">
        <w:t>nejsložitější pracoviště v rámci kategorizace pracovišť se zdroji ionizujícího záření podle § 61 odst. 3 atomového zákona. U pracovišť III. kategorie a u jiné činnosti v rámci expozičních situací a poskytování služeb významných z hlediska radiační ochrany</w:t>
      </w:r>
      <w:r w:rsidR="00867C28">
        <w:t xml:space="preserve"> je sazba nižší, což uvádí odstavec </w:t>
      </w:r>
      <w:r w:rsidR="00D50667">
        <w:t>3</w:t>
      </w:r>
      <w:r w:rsidR="00867C28">
        <w:t>.</w:t>
      </w:r>
    </w:p>
    <w:p w14:paraId="4D7FC945" w14:textId="77777777" w:rsidR="00867C28" w:rsidRDefault="00867C28" w:rsidP="00FC3B0C">
      <w:pPr>
        <w:pStyle w:val="9"/>
      </w:pPr>
    </w:p>
    <w:p w14:paraId="3A5933F6" w14:textId="77777777" w:rsidR="00A77B3E" w:rsidRPr="00867C28" w:rsidRDefault="00C45E3B" w:rsidP="00FC3B0C">
      <w:pPr>
        <w:pStyle w:val="9"/>
        <w:rPr>
          <w:u w:val="single"/>
        </w:rPr>
      </w:pPr>
      <w:r>
        <w:rPr>
          <w:u w:val="single"/>
        </w:rPr>
        <w:t>K § 3a odst. 1 písm. e)</w:t>
      </w:r>
    </w:p>
    <w:p w14:paraId="0B2B25C8" w14:textId="291B241F" w:rsidR="00A77B3E" w:rsidRDefault="00F80A6A">
      <w:pPr>
        <w:pStyle w:val="9"/>
      </w:pPr>
      <w:r>
        <w:t>Toto písmeno</w:t>
      </w:r>
      <w:r w:rsidR="0074203F">
        <w:t xml:space="preserve"> se týká poplatků v oblasti nešíření jaderných zbraní. Bylo stanoveno celkem 5 cenových skupin</w:t>
      </w:r>
      <w:r w:rsidR="00867C28">
        <w:t xml:space="preserve"> a nejvyšší částky se týkají dokumentace na jaderných zařízeních, což jsou nejvýznamnější záruková zařízení.</w:t>
      </w:r>
    </w:p>
    <w:p w14:paraId="11553317" w14:textId="77777777" w:rsidR="00A77B3E" w:rsidRDefault="00C45E3B">
      <w:pPr>
        <w:pStyle w:val="10"/>
      </w:pPr>
      <w:r>
        <w:t>K § 3a odst. 2</w:t>
      </w:r>
    </w:p>
    <w:p w14:paraId="0C95AD22" w14:textId="11458C36" w:rsidR="00A77B3E" w:rsidRDefault="0074203F">
      <w:pPr>
        <w:pStyle w:val="9"/>
      </w:pPr>
      <w:r>
        <w:t>V případě, že se čin</w:t>
      </w:r>
      <w:r w:rsidR="00867C28">
        <w:t>n</w:t>
      </w:r>
      <w:r>
        <w:t xml:space="preserve">osti v oblasti související s využíváním jaderné energie, nakládání s radioaktivními odpady a vyřazování z provozu vyjmenované v odstavcích 1 </w:t>
      </w:r>
      <w:r w:rsidR="00D50667">
        <w:t>písm. a) a b)</w:t>
      </w:r>
      <w:r>
        <w:t xml:space="preserve"> tohoto paragrafu a činnosti související se zárukovým plánem při nešíření jaderných zbraní, týkají výzkumného jaderného zařízení, sazba poplatku je snižována na jednu třetinu (a zaokrouhlována na celé tisícikoruny směrem nahoru).</w:t>
      </w:r>
      <w:r w:rsidR="00867C28">
        <w:t xml:space="preserve"> Tato zařízení jsou potenciálně méně nebezpečná než energetická jaderná zařízení a v souladu s odstupňovaným přístupem u nich nejsou tak přísné legislativní a regulatorní požadavky.</w:t>
      </w:r>
    </w:p>
    <w:p w14:paraId="651FB888" w14:textId="77777777" w:rsidR="00A77B3E" w:rsidRDefault="0074203F">
      <w:pPr>
        <w:pStyle w:val="10"/>
      </w:pPr>
      <w:r>
        <w:t xml:space="preserve">K § 3a odst. </w:t>
      </w:r>
      <w:r w:rsidR="00C45E3B">
        <w:t>3</w:t>
      </w:r>
    </w:p>
    <w:p w14:paraId="0CF728AE" w14:textId="3420AA04" w:rsidR="00A77B3E" w:rsidRDefault="0074203F">
      <w:pPr>
        <w:pStyle w:val="6"/>
      </w:pPr>
      <w:r>
        <w:t xml:space="preserve">​Na pracovištích III. kategorie se ​sazby stanovené v odst. </w:t>
      </w:r>
      <w:r w:rsidR="00D50667">
        <w:t>1</w:t>
      </w:r>
      <w:r>
        <w:t xml:space="preserve"> </w:t>
      </w:r>
      <w:r w:rsidR="00D50667">
        <w:t xml:space="preserve">písm. d) </w:t>
      </w:r>
      <w:r>
        <w:t>pro pracoviště IV. kategorie snižují ​na polovinu.</w:t>
      </w:r>
    </w:p>
    <w:p w14:paraId="00E04493" w14:textId="36C376FA" w:rsidR="00A77B3E" w:rsidRDefault="0074203F">
      <w:pPr>
        <w:pStyle w:val="8"/>
      </w:pPr>
      <w:r>
        <w:t xml:space="preserve">​Činnosti, které nespadají ​pod odst. </w:t>
      </w:r>
      <w:r w:rsidR="00D50667">
        <w:t>1 písm. d)</w:t>
      </w:r>
      <w:r w:rsidR="00F80A6A">
        <w:t xml:space="preserve"> body 1 až 4</w:t>
      </w:r>
      <w:r>
        <w:t xml:space="preserve"> na pracovištích IV. ​nebo III. kategorie, a zároveň jsou činnostmi v rámci expozičních situací a poskytování služeb významných z hlediska radiační ochrany</w:t>
      </w:r>
      <w:r w:rsidR="00D50667">
        <w:t>,</w:t>
      </w:r>
      <w:r>
        <w:t xml:space="preserve"> jsou ohodnoceny ​desetinou ​sazeb stanovených v odst. </w:t>
      </w:r>
      <w:r w:rsidR="00D50667">
        <w:t>1 písm. d)</w:t>
      </w:r>
      <w:r>
        <w:t>.</w:t>
      </w:r>
    </w:p>
    <w:p w14:paraId="36B37912" w14:textId="77777777" w:rsidR="00A77B3E" w:rsidRDefault="00C45E3B">
      <w:pPr>
        <w:pStyle w:val="10"/>
      </w:pPr>
      <w:r>
        <w:t>K § 3a odst. 4</w:t>
      </w:r>
    </w:p>
    <w:p w14:paraId="1E386DD3" w14:textId="790F1CB5" w:rsidR="00A77B3E" w:rsidRDefault="0074203F">
      <w:pPr>
        <w:pStyle w:val="9"/>
      </w:pPr>
      <w:r>
        <w:t>Bude</w:t>
      </w:r>
      <w:r w:rsidR="00867C28">
        <w:t>-</w:t>
      </w:r>
      <w:r>
        <w:t xml:space="preserve">li se požádání o předběžnou informaci týkat více </w:t>
      </w:r>
      <w:r w:rsidR="00D50667">
        <w:t xml:space="preserve">bodů </w:t>
      </w:r>
      <w:r>
        <w:t>uvedených v odstavc</w:t>
      </w:r>
      <w:r w:rsidR="00D50667">
        <w:t>i</w:t>
      </w:r>
      <w:r>
        <w:t xml:space="preserve"> 1, pak budou částky uvedené u těchto písmen sečteny, avšak nejvýše do čá</w:t>
      </w:r>
      <w:r w:rsidR="00867C28">
        <w:t>s</w:t>
      </w:r>
      <w:r>
        <w:t>tky</w:t>
      </w:r>
      <w:r w:rsidR="00867C28">
        <w:t xml:space="preserve"> předpokládané § 39 atomového zákona, tedy do částky</w:t>
      </w:r>
      <w:r>
        <w:t xml:space="preserve"> 1 500 000 Kč.</w:t>
      </w:r>
    </w:p>
    <w:p w14:paraId="75DA0520" w14:textId="77777777" w:rsidR="00867C28" w:rsidRDefault="00867C28" w:rsidP="00867C28">
      <w:pPr>
        <w:pStyle w:val="3"/>
      </w:pPr>
      <w:r>
        <w:t>K čl. II</w:t>
      </w:r>
    </w:p>
    <w:p w14:paraId="480395C9" w14:textId="67732942" w:rsidR="00867C28" w:rsidRPr="00867C28" w:rsidRDefault="00867C28" w:rsidP="00646FA1">
      <w:pPr>
        <w:pStyle w:val="3"/>
        <w:ind w:left="0" w:right="50"/>
        <w:jc w:val="both"/>
        <w:rPr>
          <w:b w:val="0"/>
          <w:sz w:val="24"/>
        </w:rPr>
      </w:pPr>
      <w:r w:rsidRPr="00867C28">
        <w:rPr>
          <w:b w:val="0"/>
          <w:sz w:val="24"/>
        </w:rPr>
        <w:t xml:space="preserve">Účinnost návrhu nařízení vlády se navrhuje dnem 1. </w:t>
      </w:r>
      <w:r w:rsidR="00666444">
        <w:rPr>
          <w:b w:val="0"/>
          <w:sz w:val="24"/>
        </w:rPr>
        <w:t>července</w:t>
      </w:r>
      <w:r w:rsidRPr="00867C28">
        <w:rPr>
          <w:b w:val="0"/>
          <w:sz w:val="24"/>
        </w:rPr>
        <w:t xml:space="preserve"> 2025 v souladu s nabytím účinnosti novely atomového zákona.</w:t>
      </w:r>
    </w:p>
    <w:p w14:paraId="4C960EEB" w14:textId="77777777" w:rsidR="00867C28" w:rsidRDefault="00867C28">
      <w:pPr>
        <w:pStyle w:val="9"/>
      </w:pPr>
    </w:p>
    <w:p w14:paraId="33C7317A" w14:textId="77777777" w:rsidR="00A77B3E" w:rsidRDefault="00A77B3E">
      <w:pPr>
        <w:pStyle w:val="1"/>
      </w:pPr>
    </w:p>
    <w:sectPr w:rsidR="00A77B3E">
      <w:headerReference w:type="even" r:id="rId7"/>
      <w:headerReference w:type="default" r:id="rId8"/>
      <w:pgSz w:w="12240" w:h="15840"/>
      <w:pgMar w:top="1417" w:right="1417" w:bottom="1417" w:left="1417" w:header="40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E16140" w14:textId="77777777" w:rsidR="00E75A27" w:rsidRDefault="00E75A27">
      <w:r>
        <w:separator/>
      </w:r>
    </w:p>
  </w:endnote>
  <w:endnote w:type="continuationSeparator" w:id="0">
    <w:p w14:paraId="79C9D0FD" w14:textId="77777777" w:rsidR="00E75A27" w:rsidRDefault="00E75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0C9BED" w14:textId="77777777" w:rsidR="00E75A27" w:rsidRDefault="00E75A27">
      <w:r>
        <w:separator/>
      </w:r>
    </w:p>
  </w:footnote>
  <w:footnote w:type="continuationSeparator" w:id="0">
    <w:p w14:paraId="7899AEAB" w14:textId="77777777" w:rsidR="00E75A27" w:rsidRDefault="00E75A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4A0" w:firstRow="1" w:lastRow="0" w:firstColumn="1" w:lastColumn="0" w:noHBand="0" w:noVBand="1"/>
    </w:tblPr>
    <w:tblGrid>
      <w:gridCol w:w="9406"/>
    </w:tblGrid>
    <w:tr w:rsidR="00840964" w14:paraId="2F29F49E" w14:textId="77777777">
      <w:tc>
        <w:tcPr>
          <w:tcW w:w="0" w:type="auto"/>
          <w:tcMar>
            <w:top w:w="85" w:type="dxa"/>
            <w:left w:w="146" w:type="dxa"/>
            <w:bottom w:w="85" w:type="dxa"/>
            <w:right w:w="157" w:type="dxa"/>
          </w:tcMar>
          <w:vAlign w:val="center"/>
          <w:hideMark/>
        </w:tcPr>
        <w:p w14:paraId="7A6FD421" w14:textId="77777777" w:rsidR="00840964" w:rsidRDefault="00840964">
          <w:pPr>
            <w:pStyle w:val="HlavickaZlutyText"/>
          </w:pPr>
        </w:p>
      </w:tc>
    </w:tr>
    <w:tr w:rsidR="00840964" w14:paraId="70571662" w14:textId="77777777">
      <w:tc>
        <w:tcPr>
          <w:tcW w:w="0" w:type="auto"/>
          <w:tcMar>
            <w:top w:w="85" w:type="dxa"/>
            <w:left w:w="146" w:type="dxa"/>
            <w:bottom w:w="85" w:type="dxa"/>
            <w:right w:w="157" w:type="dxa"/>
          </w:tcMar>
          <w:vAlign w:val="center"/>
          <w:hideMark/>
        </w:tcPr>
        <w:p w14:paraId="779A2A56" w14:textId="77777777" w:rsidR="00840964" w:rsidRDefault="00840964">
          <w:pPr>
            <w:pStyle w:val="Hlavicka"/>
            <w:jc w:val="center"/>
          </w:pPr>
        </w:p>
      </w:tc>
    </w:tr>
  </w:tbl>
  <w:p w14:paraId="5802923B" w14:textId="77777777" w:rsidR="00840964" w:rsidRDefault="00840964">
    <w:pPr>
      <w:pStyle w:val="Hlavic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4A0" w:firstRow="1" w:lastRow="0" w:firstColumn="1" w:lastColumn="0" w:noHBand="0" w:noVBand="1"/>
    </w:tblPr>
    <w:tblGrid>
      <w:gridCol w:w="9406"/>
    </w:tblGrid>
    <w:tr w:rsidR="00840964" w14:paraId="3F60B00C" w14:textId="77777777">
      <w:tc>
        <w:tcPr>
          <w:tcW w:w="0" w:type="auto"/>
          <w:tcMar>
            <w:top w:w="85" w:type="dxa"/>
            <w:left w:w="146" w:type="dxa"/>
            <w:bottom w:w="85" w:type="dxa"/>
            <w:right w:w="157" w:type="dxa"/>
          </w:tcMar>
          <w:vAlign w:val="center"/>
          <w:hideMark/>
        </w:tcPr>
        <w:p w14:paraId="17BCC1BA" w14:textId="77777777" w:rsidR="00840964" w:rsidRDefault="00840964">
          <w:pPr>
            <w:pStyle w:val="HlavickaZlutyText"/>
            <w:jc w:val="right"/>
          </w:pPr>
        </w:p>
      </w:tc>
    </w:tr>
    <w:tr w:rsidR="00840964" w14:paraId="0FABA24D" w14:textId="77777777">
      <w:tc>
        <w:tcPr>
          <w:tcW w:w="0" w:type="auto"/>
          <w:tcMar>
            <w:top w:w="85" w:type="dxa"/>
            <w:left w:w="146" w:type="dxa"/>
            <w:bottom w:w="85" w:type="dxa"/>
            <w:right w:w="157" w:type="dxa"/>
          </w:tcMar>
          <w:vAlign w:val="center"/>
          <w:hideMark/>
        </w:tcPr>
        <w:p w14:paraId="7B4E8E07" w14:textId="77777777" w:rsidR="00840964" w:rsidRDefault="00840964">
          <w:pPr>
            <w:pStyle w:val="Hlavicka"/>
          </w:pPr>
        </w:p>
      </w:tc>
    </w:tr>
  </w:tbl>
  <w:p w14:paraId="467E0BE9" w14:textId="77777777" w:rsidR="00840964" w:rsidRDefault="00840964">
    <w:pPr>
      <w:pStyle w:val="Hlavick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evenAndOddHeader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B3E"/>
    <w:rsid w:val="003121AF"/>
    <w:rsid w:val="00374743"/>
    <w:rsid w:val="005C0AFE"/>
    <w:rsid w:val="00646FA1"/>
    <w:rsid w:val="00666444"/>
    <w:rsid w:val="0074203F"/>
    <w:rsid w:val="00840964"/>
    <w:rsid w:val="00851314"/>
    <w:rsid w:val="00867C28"/>
    <w:rsid w:val="008A1F63"/>
    <w:rsid w:val="00A77B3E"/>
    <w:rsid w:val="00B04BFF"/>
    <w:rsid w:val="00C45E3B"/>
    <w:rsid w:val="00CA2A55"/>
    <w:rsid w:val="00D50667"/>
    <w:rsid w:val="00E75A27"/>
    <w:rsid w:val="00EA5EDC"/>
    <w:rsid w:val="00F80A6A"/>
    <w:rsid w:val="00FC3B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D609A1"/>
  <w15:docId w15:val="{27BBAFAD-3A50-45F5-B23B-174330724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Hlavicka">
    <w:name w:val="Hlavicka"/>
    <w:rPr>
      <w:i/>
    </w:rPr>
  </w:style>
  <w:style w:type="paragraph" w:customStyle="1" w:styleId="HlavickaZlutyText">
    <w:name w:val="HlavickaZlutyText"/>
    <w:rPr>
      <w:sz w:val="18"/>
    </w:rPr>
  </w:style>
  <w:style w:type="paragraph" w:customStyle="1" w:styleId="Variantastart">
    <w:name w:val="Varianta_start"/>
    <w:pPr>
      <w:pBdr>
        <w:top w:val="single" w:sz="8" w:space="0" w:color="800080"/>
      </w:pBdr>
      <w:spacing w:after="100"/>
    </w:pPr>
    <w:rPr>
      <w:b/>
      <w:i/>
      <w:color w:val="800080"/>
    </w:rPr>
  </w:style>
  <w:style w:type="paragraph" w:customStyle="1" w:styleId="Variantakonec">
    <w:name w:val="Varianta_konec"/>
    <w:pPr>
      <w:pBdr>
        <w:bottom w:val="single" w:sz="8" w:space="0" w:color="800080"/>
      </w:pBdr>
      <w:spacing w:after="100"/>
    </w:pPr>
    <w:rPr>
      <w:b/>
      <w:i/>
      <w:color w:val="800080"/>
    </w:rPr>
  </w:style>
  <w:style w:type="paragraph" w:customStyle="1" w:styleId="Ucinnoststart">
    <w:name w:val="Ucinnost_start"/>
    <w:pPr>
      <w:pBdr>
        <w:top w:val="single" w:sz="8" w:space="0" w:color="8B0000"/>
      </w:pBdr>
      <w:spacing w:after="100"/>
    </w:pPr>
    <w:rPr>
      <w:b/>
      <w:i/>
      <w:color w:val="8B0000"/>
    </w:rPr>
  </w:style>
  <w:style w:type="paragraph" w:customStyle="1" w:styleId="Ucinnostkonec">
    <w:name w:val="Ucinnost_konec"/>
    <w:pPr>
      <w:pBdr>
        <w:bottom w:val="single" w:sz="8" w:space="0" w:color="8B0000"/>
      </w:pBdr>
      <w:spacing w:after="100"/>
    </w:pPr>
    <w:rPr>
      <w:b/>
      <w:i/>
      <w:color w:val="8B0000"/>
    </w:rPr>
  </w:style>
  <w:style w:type="paragraph" w:customStyle="1" w:styleId="Celex">
    <w:name w:val="Celex"/>
    <w:pPr>
      <w:spacing w:before="120" w:after="120"/>
    </w:pPr>
    <w:rPr>
      <w:i/>
    </w:rPr>
  </w:style>
  <w:style w:type="paragraph" w:customStyle="1" w:styleId="Pripominkystart">
    <w:name w:val="Pripominky_start"/>
    <w:pPr>
      <w:pBdr>
        <w:top w:val="single" w:sz="8" w:space="0" w:color="87CEFA"/>
      </w:pBdr>
      <w:spacing w:after="100"/>
      <w:jc w:val="right"/>
    </w:pPr>
    <w:rPr>
      <w:b/>
      <w:i/>
      <w:color w:val="87CEFA"/>
    </w:rPr>
  </w:style>
  <w:style w:type="paragraph" w:customStyle="1" w:styleId="1">
    <w:name w:val="1"/>
    <w:pPr>
      <w:spacing w:before="11"/>
    </w:pPr>
    <w:rPr>
      <w:sz w:val="0"/>
    </w:rPr>
  </w:style>
  <w:style w:type="paragraph" w:customStyle="1" w:styleId="2">
    <w:name w:val="2"/>
    <w:pPr>
      <w:spacing w:after="340"/>
      <w:ind w:left="680" w:right="680"/>
      <w:jc w:val="center"/>
    </w:pPr>
    <w:rPr>
      <w:b/>
      <w:sz w:val="44"/>
    </w:rPr>
  </w:style>
  <w:style w:type="paragraph" w:customStyle="1" w:styleId="3">
    <w:name w:val="3"/>
    <w:pPr>
      <w:spacing w:before="340" w:after="113"/>
      <w:ind w:left="850" w:right="850"/>
      <w:jc w:val="center"/>
    </w:pPr>
    <w:rPr>
      <w:b/>
      <w:sz w:val="34"/>
    </w:rPr>
  </w:style>
  <w:style w:type="paragraph" w:customStyle="1" w:styleId="4">
    <w:name w:val="4"/>
    <w:pPr>
      <w:spacing w:before="510"/>
      <w:ind w:left="850" w:right="850"/>
      <w:jc w:val="center"/>
    </w:pPr>
    <w:rPr>
      <w:b/>
      <w:sz w:val="32"/>
    </w:rPr>
  </w:style>
  <w:style w:type="paragraph" w:customStyle="1" w:styleId="5">
    <w:name w:val="5"/>
    <w:pPr>
      <w:spacing w:before="283" w:after="113"/>
      <w:ind w:left="340" w:hanging="340"/>
    </w:pPr>
    <w:rPr>
      <w:b/>
      <w:sz w:val="26"/>
    </w:rPr>
  </w:style>
  <w:style w:type="paragraph" w:customStyle="1" w:styleId="Varianta5start">
    <w:name w:val="Varianta_5_start"/>
    <w:pPr>
      <w:pBdr>
        <w:top w:val="single" w:sz="8" w:space="0" w:color="800080"/>
      </w:pBdr>
      <w:spacing w:after="100"/>
      <w:ind w:left="340"/>
    </w:pPr>
    <w:rPr>
      <w:b/>
      <w:i/>
      <w:color w:val="800080"/>
    </w:rPr>
  </w:style>
  <w:style w:type="paragraph" w:customStyle="1" w:styleId="Varianta5konec">
    <w:name w:val="Varianta_5_konec"/>
    <w:pPr>
      <w:pBdr>
        <w:bottom w:val="single" w:sz="8" w:space="0" w:color="800080"/>
      </w:pBdr>
      <w:spacing w:after="100"/>
      <w:ind w:left="340"/>
    </w:pPr>
    <w:rPr>
      <w:b/>
      <w:i/>
      <w:color w:val="800080"/>
    </w:rPr>
  </w:style>
  <w:style w:type="paragraph" w:customStyle="1" w:styleId="Ucinnost5start">
    <w:name w:val="Ucinnost_5_start"/>
    <w:pPr>
      <w:pBdr>
        <w:top w:val="single" w:sz="8" w:space="0" w:color="8B0000"/>
      </w:pBdr>
      <w:spacing w:after="100"/>
      <w:ind w:left="340"/>
    </w:pPr>
    <w:rPr>
      <w:b/>
      <w:i/>
      <w:color w:val="8B0000"/>
    </w:rPr>
  </w:style>
  <w:style w:type="paragraph" w:customStyle="1" w:styleId="Ucinnost5konec">
    <w:name w:val="Ucinnost_5_konec"/>
    <w:pPr>
      <w:pBdr>
        <w:bottom w:val="single" w:sz="8" w:space="0" w:color="8B0000"/>
      </w:pBdr>
      <w:spacing w:after="100"/>
      <w:ind w:left="340"/>
    </w:pPr>
    <w:rPr>
      <w:b/>
      <w:i/>
      <w:color w:val="8B0000"/>
    </w:rPr>
  </w:style>
  <w:style w:type="paragraph" w:customStyle="1" w:styleId="Pripominky5start">
    <w:name w:val="Pripominky_5_start"/>
    <w:pPr>
      <w:pBdr>
        <w:top w:val="single" w:sz="8" w:space="0" w:color="87CEFA"/>
      </w:pBdr>
      <w:spacing w:after="100"/>
      <w:ind w:left="340"/>
      <w:jc w:val="right"/>
    </w:pPr>
    <w:rPr>
      <w:b/>
      <w:i/>
      <w:color w:val="87CEFA"/>
    </w:rPr>
  </w:style>
  <w:style w:type="paragraph" w:customStyle="1" w:styleId="6">
    <w:name w:val="6"/>
    <w:pPr>
      <w:spacing w:after="113"/>
      <w:jc w:val="both"/>
    </w:pPr>
    <w:rPr>
      <w:sz w:val="24"/>
    </w:rPr>
  </w:style>
  <w:style w:type="paragraph" w:customStyle="1" w:styleId="7">
    <w:name w:val="7"/>
    <w:pPr>
      <w:spacing w:before="113" w:after="113"/>
      <w:jc w:val="both"/>
    </w:pPr>
    <w:rPr>
      <w:sz w:val="24"/>
    </w:rPr>
  </w:style>
  <w:style w:type="paragraph" w:customStyle="1" w:styleId="8">
    <w:name w:val="8"/>
    <w:pPr>
      <w:spacing w:before="113" w:after="57"/>
      <w:jc w:val="both"/>
    </w:pPr>
    <w:rPr>
      <w:sz w:val="24"/>
    </w:rPr>
  </w:style>
  <w:style w:type="paragraph" w:customStyle="1" w:styleId="9">
    <w:name w:val="9"/>
    <w:pPr>
      <w:spacing w:after="57"/>
      <w:jc w:val="both"/>
    </w:pPr>
    <w:rPr>
      <w:sz w:val="24"/>
    </w:rPr>
  </w:style>
  <w:style w:type="paragraph" w:customStyle="1" w:styleId="10">
    <w:name w:val="10"/>
    <w:pPr>
      <w:spacing w:before="397" w:after="57"/>
    </w:pPr>
    <w:rPr>
      <w:sz w:val="24"/>
      <w:u w:val="single"/>
    </w:rPr>
  </w:style>
  <w:style w:type="paragraph" w:customStyle="1" w:styleId="11">
    <w:name w:val="11"/>
    <w:pPr>
      <w:spacing w:after="57"/>
      <w:jc w:val="both"/>
    </w:pPr>
    <w:rPr>
      <w:sz w:val="24"/>
    </w:rPr>
  </w:style>
  <w:style w:type="character" w:styleId="Odkaznakoment">
    <w:name w:val="annotation reference"/>
    <w:basedOn w:val="Standardnpsmoodstavce"/>
    <w:semiHidden/>
    <w:unhideWhenUsed/>
    <w:rsid w:val="00B04BFF"/>
    <w:rPr>
      <w:sz w:val="16"/>
      <w:szCs w:val="16"/>
    </w:rPr>
  </w:style>
  <w:style w:type="paragraph" w:styleId="Textkomente">
    <w:name w:val="annotation text"/>
    <w:basedOn w:val="Normln"/>
    <w:link w:val="TextkomenteChar"/>
    <w:semiHidden/>
    <w:unhideWhenUsed/>
    <w:rsid w:val="00B04BFF"/>
    <w:rPr>
      <w:sz w:val="20"/>
      <w:szCs w:val="20"/>
    </w:rPr>
  </w:style>
  <w:style w:type="character" w:customStyle="1" w:styleId="TextkomenteChar">
    <w:name w:val="Text komentáře Char"/>
    <w:basedOn w:val="Standardnpsmoodstavce"/>
    <w:link w:val="Textkomente"/>
    <w:semiHidden/>
    <w:rsid w:val="00B04BFF"/>
  </w:style>
  <w:style w:type="paragraph" w:styleId="Pedmtkomente">
    <w:name w:val="annotation subject"/>
    <w:basedOn w:val="Textkomente"/>
    <w:next w:val="Textkomente"/>
    <w:link w:val="PedmtkomenteChar"/>
    <w:semiHidden/>
    <w:unhideWhenUsed/>
    <w:rsid w:val="00B04BFF"/>
    <w:rPr>
      <w:b/>
      <w:bCs/>
    </w:rPr>
  </w:style>
  <w:style w:type="character" w:customStyle="1" w:styleId="PedmtkomenteChar">
    <w:name w:val="Předmět komentáře Char"/>
    <w:basedOn w:val="TextkomenteChar"/>
    <w:link w:val="Pedmtkomente"/>
    <w:semiHidden/>
    <w:rsid w:val="00B04BFF"/>
    <w:rPr>
      <w:b/>
      <w:bCs/>
    </w:rPr>
  </w:style>
  <w:style w:type="paragraph" w:styleId="Textbubliny">
    <w:name w:val="Balloon Text"/>
    <w:basedOn w:val="Normln"/>
    <w:link w:val="TextbublinyChar"/>
    <w:semiHidden/>
    <w:unhideWhenUsed/>
    <w:rsid w:val="00B04BFF"/>
    <w:rPr>
      <w:rFonts w:ascii="Segoe UI" w:hAnsi="Segoe UI" w:cs="Segoe UI"/>
      <w:sz w:val="18"/>
      <w:szCs w:val="18"/>
    </w:rPr>
  </w:style>
  <w:style w:type="character" w:customStyle="1" w:styleId="TextbublinyChar">
    <w:name w:val="Text bubliny Char"/>
    <w:basedOn w:val="Standardnpsmoodstavce"/>
    <w:link w:val="Textbubliny"/>
    <w:semiHidden/>
    <w:rsid w:val="00B04BF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A046F8-9910-442E-B2F5-D60213220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3011</Words>
  <Characters>17669</Characters>
  <Application>Microsoft Office Word</Application>
  <DocSecurity>4</DocSecurity>
  <Lines>147</Lines>
  <Paragraphs>41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Klobouček Eduard</dc:creator>
  <cp:lastModifiedBy>Klobouček Eduard</cp:lastModifiedBy>
  <cp:revision>2</cp:revision>
  <cp:lastPrinted>2025-03-14T07:26:00Z</cp:lastPrinted>
  <dcterms:created xsi:type="dcterms:W3CDTF">2025-03-14T10:46:00Z</dcterms:created>
  <dcterms:modified xsi:type="dcterms:W3CDTF">2025-03-14T10:46:00Z</dcterms:modified>
</cp:coreProperties>
</file>