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A77B3E"/>
    <w:p w:rsidR="00A77B3E" w:rsidRDefault="00A77B3E">
      <w:pPr>
        <w:pStyle w:val="1"/>
      </w:pPr>
    </w:p>
    <w:p w:rsidR="00A77B3E" w:rsidRDefault="00A77B3E">
      <w:pPr>
        <w:pStyle w:val="2"/>
      </w:pPr>
    </w:p>
    <w:p w:rsidR="00A77B3E" w:rsidRDefault="002742CB">
      <w:pPr>
        <w:pStyle w:val="3"/>
      </w:pPr>
      <w:r>
        <w:t>Informativní přehled veřejnoprávních povinností</w:t>
      </w:r>
    </w:p>
    <w:p w:rsidR="00A77B3E" w:rsidRDefault="002742CB">
      <w:pPr>
        <w:pStyle w:val="4"/>
      </w:pPr>
      <w:r w:rsidRPr="002742CB">
        <w:t>Návrh nařízení vlády, kterým se mění nařízení vlády č. 347/2016 Sb., o sazbách poplatků na odbornou činnost Státního úřadu pro jadernou bezpečnost, ve znění nařízení vlády č. 273/2019 Sb.</w:t>
      </w:r>
    </w:p>
    <w:p w:rsidR="00A77B3E" w:rsidRDefault="002742CB">
      <w:pPr>
        <w:pStyle w:val="5"/>
      </w:pPr>
      <w:r>
        <w:t>1. Účinnost dnem 1. července 2025</w:t>
      </w:r>
    </w:p>
    <w:p w:rsidR="00A77B3E" w:rsidRDefault="002742CB">
      <w:pPr>
        <w:pStyle w:val="6"/>
      </w:pPr>
      <w:r>
        <w:t>Nebyla zadána žádná veřejnoprávní povinnost.</w:t>
      </w:r>
    </w:p>
    <w:p w:rsidR="00A77B3E" w:rsidRDefault="002742CB">
      <w:pPr>
        <w:pStyle w:val="4"/>
      </w:pPr>
      <w:r>
        <w:t>Informativní přehled veřejnoprávních povinností vyplývajících z nařízení</w:t>
      </w:r>
      <w:r>
        <w:t xml:space="preserve"> vlády č. 347/2016 Sb., ve znění nařízení vlády č. 273/2</w:t>
      </w:r>
      <w:bookmarkStart w:id="0" w:name="_GoBack"/>
      <w:bookmarkEnd w:id="0"/>
      <w:r>
        <w:t>019 Sb. a návrhu č. 2025-0017:</w:t>
      </w:r>
    </w:p>
    <w:p w:rsidR="00A77B3E" w:rsidRDefault="002742CB">
      <w:pPr>
        <w:pStyle w:val="5"/>
      </w:pPr>
      <w:r>
        <w:t>1. Účinnost dnem 1. ledna 2017</w:t>
      </w:r>
    </w:p>
    <w:p w:rsidR="00A77B3E" w:rsidRDefault="002742CB">
      <w:pPr>
        <w:pStyle w:val="6"/>
      </w:pPr>
      <w:r>
        <w:t>Nebyla zadána žádná veřejnoprávní povinnost.</w:t>
      </w:r>
    </w:p>
    <w:p w:rsidR="00A77B3E" w:rsidRDefault="002742CB">
      <w:pPr>
        <w:pStyle w:val="5"/>
      </w:pPr>
      <w:r>
        <w:t>2. Účinnost dnem 1. ledna 2020</w:t>
      </w:r>
    </w:p>
    <w:p w:rsidR="00A77B3E" w:rsidRDefault="002742CB">
      <w:pPr>
        <w:pStyle w:val="6"/>
      </w:pPr>
      <w:r>
        <w:t>Nebyla zadána žádná veřejnoprávní povinnost.</w:t>
      </w:r>
    </w:p>
    <w:sectPr w:rsidR="00A77B3E">
      <w:headerReference w:type="even" r:id="rId6"/>
      <w:headerReference w:type="default" r:id="rId7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742CB">
      <w:r>
        <w:separator/>
      </w:r>
    </w:p>
  </w:endnote>
  <w:endnote w:type="continuationSeparator" w:id="0">
    <w:p w:rsidR="00000000" w:rsidRDefault="0027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742CB">
      <w:r>
        <w:separator/>
      </w:r>
    </w:p>
  </w:footnote>
  <w:footnote w:type="continuationSeparator" w:id="0">
    <w:p w:rsidR="00000000" w:rsidRDefault="00274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196967">
      <w:tc>
        <w:tcPr>
          <w:tcW w:w="0" w:type="auto"/>
        </w:tcPr>
        <w:p w:rsidR="00196967" w:rsidRDefault="00196967">
          <w:pPr>
            <w:pStyle w:val="HlavickaZlutyText"/>
          </w:pPr>
        </w:p>
      </w:tc>
    </w:tr>
    <w:tr w:rsidR="00196967">
      <w:tc>
        <w:tcPr>
          <w:tcW w:w="0" w:type="auto"/>
        </w:tcPr>
        <w:p w:rsidR="00196967" w:rsidRDefault="00196967">
          <w:pPr>
            <w:pStyle w:val="Hlavicka"/>
            <w:jc w:val="center"/>
          </w:pPr>
        </w:p>
      </w:tc>
    </w:tr>
  </w:tbl>
  <w:p w:rsidR="00196967" w:rsidRDefault="00196967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196967">
      <w:tc>
        <w:tcPr>
          <w:tcW w:w="0" w:type="auto"/>
        </w:tcPr>
        <w:p w:rsidR="00196967" w:rsidRDefault="00196967">
          <w:pPr>
            <w:pStyle w:val="HlavickaZlutyText"/>
            <w:jc w:val="right"/>
          </w:pPr>
        </w:p>
      </w:tc>
    </w:tr>
    <w:tr w:rsidR="00196967">
      <w:tc>
        <w:tcPr>
          <w:tcW w:w="0" w:type="auto"/>
        </w:tcPr>
        <w:p w:rsidR="00196967" w:rsidRDefault="00196967">
          <w:pPr>
            <w:pStyle w:val="Hlavicka"/>
          </w:pPr>
        </w:p>
      </w:tc>
    </w:tr>
  </w:tbl>
  <w:p w:rsidR="00196967" w:rsidRDefault="00196967"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196967"/>
    <w:rsid w:val="002742CB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C377AD-04D0-47D1-AF2F-437A021E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Pripominkystart">
    <w:name w:val="Pripominky_start"/>
    <w:pPr>
      <w:pBdr>
        <w:top w:val="single" w:sz="8" w:space="0" w:color="87CEFA"/>
      </w:pBdr>
      <w:spacing w:after="100"/>
      <w:jc w:val="right"/>
    </w:pPr>
    <w:rPr>
      <w:b/>
      <w:i/>
      <w:color w:val="87CEFA"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before="11"/>
    </w:pPr>
    <w:rPr>
      <w:sz w:val="0"/>
    </w:rPr>
  </w:style>
  <w:style w:type="paragraph" w:customStyle="1" w:styleId="3">
    <w:name w:val="3"/>
    <w:pPr>
      <w:spacing w:after="340"/>
      <w:ind w:left="680" w:right="680"/>
      <w:jc w:val="center"/>
    </w:pPr>
    <w:rPr>
      <w:b/>
      <w:sz w:val="44"/>
    </w:rPr>
  </w:style>
  <w:style w:type="paragraph" w:customStyle="1" w:styleId="4">
    <w:name w:val="4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5">
    <w:name w:val="5"/>
    <w:pPr>
      <w:spacing w:before="283" w:after="113"/>
    </w:pPr>
    <w:rPr>
      <w:b/>
      <w:sz w:val="26"/>
    </w:rPr>
  </w:style>
  <w:style w:type="paragraph" w:customStyle="1" w:styleId="6">
    <w:name w:val="6"/>
    <w:pPr>
      <w:spacing w:after="5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Klobouček Eduard</cp:lastModifiedBy>
  <cp:revision>2</cp:revision>
  <dcterms:created xsi:type="dcterms:W3CDTF">2025-03-12T15:26:00Z</dcterms:created>
  <dcterms:modified xsi:type="dcterms:W3CDTF">2025-03-12T15:27:00Z</dcterms:modified>
</cp:coreProperties>
</file>