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…</w:t>
      </w:r>
    </w:p>
    <w:p w:rsidR="00A77B3E">
      <w:pPr>
        <w:pStyle w:val="3"/>
      </w:pPr>
      <w:r>
        <w:t>VYHLÁŠKA</w:t>
      </w:r>
    </w:p>
    <w:p w:rsidR="00A77B3E">
      <w:pPr>
        <w:pStyle w:val="4"/>
      </w:pPr>
      <w:r>
        <w:t xml:space="preserve">ze dne …, </w:t>
      </w:r>
    </w:p>
    <w:p w:rsidR="00A77B3E">
      <w:pPr>
        <w:pStyle w:val="5"/>
      </w:pPr>
      <w:r>
        <w:t>kterou se mění vyhláška č. 162/2017 Sb., o hodnocení bezpečnosti podle atomového zákona</w:t>
      </w:r>
    </w:p>
    <w:p w:rsidR="00A77B3E">
      <w:pPr>
        <w:pStyle w:val="6"/>
      </w:pPr>
      <w:r>
        <w:t>Státní úřad pro jadernou bezpečnost stanoví podle § 236 zákona č. 263/2016 Sb., atomový zákon, k provedení § 48 odst. 6 :</w:t>
      </w:r>
    </w:p>
    <w:p w:rsidR="00A77B3E">
      <w:pPr>
        <w:pStyle w:val="1"/>
      </w:pPr>
    </w:p>
    <w:p w:rsidR="00A77B3E">
      <w:pPr>
        <w:pStyle w:val="7"/>
      </w:pPr>
      <w:r>
        <w:t>Čl. I</w:t>
      </w:r>
    </w:p>
    <w:p w:rsidR="00A77B3E">
      <w:pPr>
        <w:pStyle w:val="8"/>
      </w:pPr>
      <w:r>
        <w:t>Vyhláška č. 162/2017 Sb., o požadavcích na hodnocení bezpečnosti podle atomového zákona, se mění takto:</w:t>
      </w:r>
    </w:p>
    <w:p w:rsidR="00A77B3E">
      <w:pPr>
        <w:pStyle w:val="9"/>
      </w:pPr>
      <w:r>
        <w:t>1.</w:t>
      </w:r>
      <w:r>
        <w:t>   V § 2 písm. f) se slovo „a“ nahrazuje čárkou.</w:t>
      </w:r>
    </w:p>
    <w:p w:rsidR="00A77B3E">
      <w:pPr>
        <w:pStyle w:val="10"/>
      </w:pPr>
      <w:r>
        <w:t>2.</w:t>
      </w:r>
      <w:r>
        <w:t>   V § 2 písm. g) se slova „více než 1 % počátečního množství“ zrušují.</w:t>
      </w:r>
    </w:p>
    <w:p w:rsidR="00A77B3E">
      <w:pPr>
        <w:pStyle w:val="10"/>
      </w:pPr>
      <w:r>
        <w:t>3.</w:t>
      </w:r>
      <w:r>
        <w:t>   V § 2 písm. g) se slova „v jaderném“ nahrazují slovy „z jaderného“.</w:t>
      </w:r>
    </w:p>
    <w:p w:rsidR="00A77B3E">
      <w:pPr>
        <w:pStyle w:val="10"/>
      </w:pPr>
      <w:r>
        <w:t>4.</w:t>
      </w:r>
      <w:r>
        <w:t>   V § 2 písm. g) se za slovo „zařízení“ vkládají slova „o aktivitě větší než 2,0E+15 Bq“.</w:t>
      </w:r>
    </w:p>
    <w:p w:rsidR="00A77B3E">
      <w:pPr>
        <w:pStyle w:val="10"/>
      </w:pPr>
      <w:r>
        <w:t>5.</w:t>
      </w:r>
      <w:r>
        <w:t>   V § 2 písm. g) se na konci tečka nahrazuje čárkou.</w:t>
      </w:r>
    </w:p>
    <w:p w:rsidR="00A77B3E">
      <w:pPr>
        <w:pStyle w:val="11"/>
      </w:pPr>
      <w:r>
        <w:t>6.</w:t>
      </w:r>
      <w:r>
        <w:t>   V § 2 se doplňuje písmeno h), které zní:</w:t>
      </w:r>
    </w:p>
    <w:p w:rsidR="00A77B3E">
      <w:pPr>
        <w:pStyle w:val="12"/>
      </w:pPr>
    </w:p>
    <w:p w:rsidR="00A77B3E">
      <w:pPr>
        <w:pStyle w:val="13"/>
      </w:pPr>
      <w:r>
        <w:t>„h)</w:t>
      </w:r>
      <w:r>
        <w:t xml:space="preserve">   velkým únikem únik </w:t>
      </w:r>
      <w:r>
        <w:rPr>
          <w:vertAlign w:val="superscript"/>
        </w:rPr>
        <w:t>137</w:t>
      </w:r>
      <w:r>
        <w:t>Cs z jaderného zařízení o aktivitě větší než 2,0E+15 Bq.“.</w:t>
      </w:r>
    </w:p>
    <w:p w:rsidR="00A77B3E">
      <w:pPr>
        <w:pStyle w:val="9"/>
      </w:pPr>
      <w:r>
        <w:t>7.</w:t>
      </w:r>
      <w:r>
        <w:t>   V § 5 odst. 2 písm. c) se slova „plošně působících vnitřních a vnějších“ zrušují.</w:t>
      </w:r>
    </w:p>
    <w:p w:rsidR="00A77B3E">
      <w:pPr>
        <w:pStyle w:val="10"/>
      </w:pPr>
      <w:r>
        <w:t>8.</w:t>
      </w:r>
      <w:r>
        <w:t>   V § 5 odst. 2 písm. c) se na konci textu doplňují slova „způsobených vlastnostmi území k umístění“.</w:t>
      </w:r>
    </w:p>
    <w:p w:rsidR="00A77B3E">
      <w:pPr>
        <w:pStyle w:val="10"/>
      </w:pPr>
      <w:r>
        <w:t>9.</w:t>
      </w:r>
      <w:r>
        <w:t>   V § 6 odst. 1 písm. f) se slova „kritéria přijatelnosti pro zabránění tavení jaderného paliva nebo úniku radioaktivních látek,“ zrušují.</w:t>
      </w:r>
    </w:p>
    <w:p w:rsidR="00A77B3E">
      <w:pPr>
        <w:pStyle w:val="11"/>
      </w:pPr>
      <w:r>
        <w:t>10.</w:t>
      </w:r>
      <w:r>
        <w:t>   V § 6 odst. 1 písm. f) se doplňuje bod 1, který zní:</w:t>
      </w:r>
    </w:p>
    <w:p w:rsidR="00A77B3E">
      <w:pPr>
        <w:pStyle w:val="12"/>
      </w:pPr>
    </w:p>
    <w:p w:rsidR="00A77B3E">
      <w:pPr>
        <w:pStyle w:val="14"/>
      </w:pPr>
      <w:r>
        <w:t>„1.</w:t>
      </w:r>
      <w:r>
        <w:t>   kritéria přijatelnosti pro nedosažení poškození jaderného paliva nebo nedosažení kategorie úniku radioaktivních látek analyzované v pravděpodobnostním hodnocení bezpečnosti 2. úrovně a“.</w:t>
      </w:r>
    </w:p>
    <w:p w:rsidR="00A77B3E">
      <w:pPr>
        <w:pStyle w:val="15"/>
      </w:pPr>
      <w:r>
        <w:t>11.</w:t>
      </w:r>
      <w:r>
        <w:t>   V § 6 odst. 1 písm. f) se doplňuje bod 2, který zní:</w:t>
      </w:r>
    </w:p>
    <w:p w:rsidR="00A77B3E">
      <w:pPr>
        <w:pStyle w:val="12"/>
      </w:pPr>
    </w:p>
    <w:p w:rsidR="00A77B3E">
      <w:pPr>
        <w:pStyle w:val="14"/>
      </w:pPr>
      <w:r>
        <w:t>„2.</w:t>
      </w:r>
      <w:r>
        <w:t>   minimální kritéria pro úspěch nápravných akcí k zabránění poškození jaderného paliva nebo k zabránění úniku radioaktivních látek každé kategorie úniku, a to na základě kritérií přijatelnosti v bodě 1,“.</w:t>
      </w:r>
    </w:p>
    <w:p w:rsidR="00A77B3E">
      <w:pPr>
        <w:pStyle w:val="9"/>
      </w:pPr>
      <w:r>
        <w:t>12.</w:t>
      </w:r>
      <w:r>
        <w:t>   V § 6 odst. 1 písm. g) se slova „možné radiační mimořádné události“ nahrazují slovy „možnému poškození jaderného paliva nebo k možnému úniku radioaktivních látek analyzované kategorie“.</w:t>
      </w:r>
    </w:p>
    <w:p w:rsidR="00A77B3E">
      <w:pPr>
        <w:pStyle w:val="10"/>
      </w:pPr>
      <w:r>
        <w:t>13.</w:t>
      </w:r>
      <w:r>
        <w:t>   V § 6 odst. 1 písm. g) se za slovo „přijatelnosti“ vkládají slova „a minimální kritéria pro úspěch nápravných akcí“.</w:t>
      </w:r>
    </w:p>
    <w:p w:rsidR="00A77B3E">
      <w:pPr>
        <w:pStyle w:val="10"/>
      </w:pPr>
      <w:r>
        <w:t>14.</w:t>
      </w:r>
      <w:r>
        <w:t>   V § 6 odst. 1 písm. i) se slova „odhalena a odstraněna“ nahrazují slovem „vyřešena“.</w:t>
      </w:r>
    </w:p>
    <w:p w:rsidR="00A77B3E">
      <w:pPr>
        <w:pStyle w:val="10"/>
      </w:pPr>
      <w:r>
        <w:t>15.</w:t>
      </w:r>
      <w:r>
        <w:t>   V § 6 odst. 1 písm. i) se na konci textu doplňují slova „tak, aby byly zohledněny funkční závislosti mezi systémy, konstrukcemi nebo komponentami“.</w:t>
      </w:r>
    </w:p>
    <w:p w:rsidR="00A77B3E">
      <w:pPr>
        <w:pStyle w:val="10"/>
      </w:pPr>
      <w:r>
        <w:t>16.</w:t>
      </w:r>
      <w:r>
        <w:t>   V § 6 odst. 1 písm. k) se slova „každé zařízení využívané“ nahrazují slovy „každý systém, konstrukci nebo komponentu využívanou“.</w:t>
      </w:r>
    </w:p>
    <w:p w:rsidR="00A77B3E">
      <w:pPr>
        <w:pStyle w:val="10"/>
      </w:pPr>
      <w:r>
        <w:t>17.</w:t>
      </w:r>
      <w:r>
        <w:t>   V § 6 odst. 1 písm. n) se za slovo „k“ vkládají slova „analyzovaným kategoriím“.</w:t>
      </w:r>
    </w:p>
    <w:p w:rsidR="00A77B3E">
      <w:pPr>
        <w:pStyle w:val="10"/>
      </w:pPr>
      <w:r>
        <w:t>18.</w:t>
      </w:r>
      <w:r>
        <w:t>   V § 6 odst. 2 písm. a) se slova „a závislosti vyplývající z jejich umístění“ zrušují.</w:t>
      </w:r>
    </w:p>
    <w:p w:rsidR="00A77B3E">
      <w:pPr>
        <w:pStyle w:val="10"/>
      </w:pPr>
      <w:r>
        <w:t>19.</w:t>
      </w:r>
      <w:r>
        <w:t>   V § 6 odst. 2 písm. b) se slovo „vzájemné“ nahrazuje slovy „všechny fyzikální“.</w:t>
      </w:r>
    </w:p>
    <w:p w:rsidR="00A77B3E">
      <w:pPr>
        <w:pStyle w:val="10"/>
      </w:pPr>
      <w:r>
        <w:t>20.</w:t>
      </w:r>
      <w:r>
        <w:t>   V § 6 odst. 2 písm. b) se slova „skutečností ovlivňujících jadernou bezpečnost“ nahrazují slovy „vyplývající z umístění systémů“.</w:t>
      </w:r>
    </w:p>
    <w:p w:rsidR="00A77B3E">
      <w:pPr>
        <w:pStyle w:val="10"/>
      </w:pPr>
      <w:r>
        <w:t>21.</w:t>
      </w:r>
      <w:r>
        <w:t>   V § 6 odst. 2 písm. b) se slova „které mohou nastat následkem selhání jaderného zařízení,“ nahrazují slovy „konstrukcí nebo komponent“.</w:t>
      </w:r>
    </w:p>
    <w:p w:rsidR="00A77B3E">
      <w:pPr>
        <w:pStyle w:val="10"/>
      </w:pPr>
      <w:r>
        <w:t>22.</w:t>
      </w:r>
      <w:r>
        <w:t>   V § 7 písm. c) úvodní části ustanovení se za slovo „časného“ vkládají slova „úniku a velkého“.</w:t>
      </w:r>
    </w:p>
    <w:p w:rsidR="00A77B3E">
      <w:pPr>
        <w:pStyle w:val="10"/>
      </w:pPr>
      <w:r>
        <w:t>23.</w:t>
      </w:r>
      <w:r>
        <w:t>   V § 10 odst. 5 písm. b) se slova „malých odchylek vlastností jaderného zařízení od jejich obvyklých hodnot stanovených právními předpisy, které jsou způsobilé vyvolat významné snížení úrovně jaderné bezpečnosti jaderného zařízení“ nahrazují slovy „hranového efektu“.</w:t>
      </w:r>
    </w:p>
    <w:p w:rsidR="00A77B3E">
      <w:pPr>
        <w:pStyle w:val="10"/>
      </w:pPr>
      <w:r>
        <w:t>24.</w:t>
      </w:r>
      <w:r>
        <w:t>   V § 10 odst. 5 písm. d) se slova „podílu činitelů“ nahrazují slovem „skutečnosti“.</w:t>
      </w:r>
    </w:p>
    <w:p w:rsidR="00A77B3E">
      <w:pPr>
        <w:pStyle w:val="10"/>
      </w:pPr>
      <w:r>
        <w:t>25.</w:t>
      </w:r>
      <w:r>
        <w:t>   V § 10 odst. 5 písm. d) se slova „které jsou stanoveny s významnou neurčitostí,“ nahrazují slovy „že dosažení celkově nízké úrovně rizika nezávisí“.</w:t>
      </w:r>
    </w:p>
    <w:p w:rsidR="00A77B3E">
      <w:pPr>
        <w:pStyle w:val="10"/>
      </w:pPr>
      <w:r>
        <w:t>26.</w:t>
      </w:r>
      <w:r>
        <w:t>   V § 10 odst. 5 písm. d) se slova „dosažení celkově nízké úrovně rizika představovaného jaderným zařízením“ nahrazují slovy „přispěvatelích, které mají významné neurčitosti“.</w:t>
      </w:r>
    </w:p>
    <w:p w:rsidR="00A77B3E">
      <w:pPr>
        <w:pStyle w:val="10"/>
      </w:pPr>
      <w:r>
        <w:t>27.</w:t>
      </w:r>
      <w:r>
        <w:t>   V § 17 písm. f) bodě 1 se na začátek vkládají slova „podporu pravděpodobnostního hodnocení bezpečnosti pro“.</w:t>
      </w:r>
    </w:p>
    <w:p w:rsidR="00A77B3E">
      <w:pPr>
        <w:pStyle w:val="10"/>
      </w:pPr>
      <w:r>
        <w:t>28.</w:t>
      </w:r>
      <w:r>
        <w:t>   V § 17 písm. f) bodě 1 se slova „soulad s výsledky pravděpodobnostního hodnocení bezpečnosti tak, aby byla určena“ zrušují.</w:t>
      </w:r>
    </w:p>
    <w:p w:rsidR="00A77B3E">
      <w:pPr>
        <w:pStyle w:val="10"/>
      </w:pPr>
      <w:r>
        <w:t>29.</w:t>
      </w:r>
      <w:r>
        <w:t>   V § 17 písm. f) bodě 1 se slova „tohoto systému“ zrušují.</w:t>
      </w:r>
    </w:p>
    <w:p w:rsidR="00A77B3E">
      <w:pPr>
        <w:pStyle w:val="10"/>
      </w:pPr>
      <w:r>
        <w:t>30.</w:t>
      </w:r>
      <w:r>
        <w:t>   V § 18 písm. a) bodě 1 se slovo „rizik“ nahrazuje slovem „ohrožení“.</w:t>
      </w:r>
    </w:p>
    <w:p w:rsidR="00A77B3E">
      <w:pPr>
        <w:pStyle w:val="10"/>
      </w:pPr>
      <w:r>
        <w:t>31.</w:t>
      </w:r>
      <w:r>
        <w:t>   V § 18 písm. b) bodě 1 se za slovo „ochrany“ vkládají slova „, technické bezpečnosti, monitorování radiační situace, zvládání radiační mimořádné události“.</w:t>
      </w:r>
    </w:p>
    <w:p w:rsidR="00A77B3E">
      <w:pPr>
        <w:pStyle w:val="10"/>
      </w:pPr>
      <w:r>
        <w:t>32.</w:t>
      </w:r>
      <w:r>
        <w:t>   V § 18 písm. b) bodě 1 se slova „technické bezpečnosti“ nahrazují slovem „zabezpečení“.</w:t>
      </w:r>
    </w:p>
    <w:p w:rsidR="00A77B3E">
      <w:pPr>
        <w:pStyle w:val="10"/>
      </w:pPr>
      <w:r>
        <w:t>33.</w:t>
      </w:r>
      <w:r>
        <w:t>   V § 18 písm. e) bodě 3 se slovo „a“ nahrazuje čárkou.</w:t>
      </w:r>
    </w:p>
    <w:p w:rsidR="00A77B3E">
      <w:pPr>
        <w:pStyle w:val="10"/>
      </w:pPr>
      <w:r>
        <w:t>34.</w:t>
      </w:r>
      <w:r>
        <w:t>   V § 18 písm. e) bodě 4 se na konci tečka nahrazuje slovem „a“.</w:t>
      </w:r>
    </w:p>
    <w:p w:rsidR="00A77B3E">
      <w:pPr>
        <w:pStyle w:val="11"/>
      </w:pPr>
      <w:r>
        <w:t>35.</w:t>
      </w:r>
      <w:r>
        <w:t>   V § 18 písm. e) se doplňuje bod 5, který zní:</w:t>
      </w:r>
    </w:p>
    <w:p w:rsidR="00A77B3E">
      <w:pPr>
        <w:pStyle w:val="12"/>
      </w:pPr>
    </w:p>
    <w:p w:rsidR="00A77B3E">
      <w:pPr>
        <w:pStyle w:val="14"/>
      </w:pPr>
      <w:r>
        <w:t>„5.</w:t>
      </w:r>
      <w:r>
        <w:t>   souladu systému zvládání havárií s výsledky pravděpodobnostního hodnocení bezpečnosti a jeho vhodnosti pro předcházení těžkému poškození aktivní zóny nebo zmírnění jeho následků.“.</w:t>
      </w:r>
    </w:p>
    <w:p w:rsidR="00A77B3E">
      <w:pPr>
        <w:pStyle w:val="9"/>
      </w:pPr>
      <w:r>
        <w:t>36.</w:t>
      </w:r>
      <w:r>
        <w:t>   V § 21 odst. 3 písm. b) se slova „popis způsobu plnění kritéria podle § 13 odst. 6 a 7“ nahrazují slovy „seznam bezpečnostních požadavků“.</w:t>
      </w:r>
    </w:p>
    <w:p w:rsidR="00A77B3E">
      <w:pPr>
        <w:pStyle w:val="10"/>
      </w:pPr>
      <w:r>
        <w:t>37.</w:t>
      </w:r>
      <w:r>
        <w:t>   V § 21 odst. 3 písm. c) se slova „zjištěné odchylky od plnění kritéria podle § 13 odst. 6 a 7,“ nahrazují slovy „výsledek hodnocení jednotlivých bezpečnostních požadavků s uvedením“.</w:t>
      </w:r>
    </w:p>
    <w:p w:rsidR="00A77B3E">
      <w:pPr>
        <w:pStyle w:val="11"/>
      </w:pPr>
      <w:r>
        <w:t>38.</w:t>
      </w:r>
      <w:r>
        <w:t>   V § 21 odst. 3 písm. c) se doplňuje bod 1, který zní:</w:t>
      </w:r>
    </w:p>
    <w:p w:rsidR="00A77B3E">
      <w:pPr>
        <w:pStyle w:val="12"/>
      </w:pPr>
    </w:p>
    <w:p w:rsidR="00A77B3E">
      <w:pPr>
        <w:pStyle w:val="14"/>
      </w:pPr>
      <w:r>
        <w:t>„1.</w:t>
      </w:r>
      <w:r>
        <w:t>   použitých kritérií pro hodnocení naplnění bezpečnostních požadavků a metodik podle § 3 odst. 1,“.</w:t>
      </w:r>
    </w:p>
    <w:p w:rsidR="00A77B3E">
      <w:pPr>
        <w:pStyle w:val="15"/>
      </w:pPr>
      <w:r>
        <w:t>39.</w:t>
      </w:r>
      <w:r>
        <w:t>   V § 21 odst. 3 písm. c) se doplňuje bod 2, který zní:</w:t>
      </w:r>
    </w:p>
    <w:p w:rsidR="00A77B3E">
      <w:pPr>
        <w:pStyle w:val="12"/>
      </w:pPr>
    </w:p>
    <w:p w:rsidR="00A77B3E">
      <w:pPr>
        <w:pStyle w:val="14"/>
      </w:pPr>
      <w:r>
        <w:t>„2.</w:t>
      </w:r>
      <w:r>
        <w:t>   popisu postupu hodnocení a způsobu plnění kritéria podle § 13 odst. 6 a 7,“.</w:t>
      </w:r>
    </w:p>
    <w:p w:rsidR="00A77B3E">
      <w:pPr>
        <w:pStyle w:val="15"/>
      </w:pPr>
      <w:r>
        <w:t>40.</w:t>
      </w:r>
      <w:r>
        <w:t>   V § 21 odst. 3 písm. c) se doplňuje bod 3, který zní:</w:t>
      </w:r>
    </w:p>
    <w:p w:rsidR="00A77B3E">
      <w:pPr>
        <w:pStyle w:val="12"/>
      </w:pPr>
    </w:p>
    <w:p w:rsidR="00A77B3E">
      <w:pPr>
        <w:pStyle w:val="14"/>
      </w:pPr>
      <w:r>
        <w:t>„3.</w:t>
      </w:r>
      <w:r>
        <w:t>   zjištěné odchylky od plnění kritéria podle § 13 odst. 6 a 7 a“.</w:t>
      </w:r>
    </w:p>
    <w:p w:rsidR="00A77B3E">
      <w:pPr>
        <w:pStyle w:val="15"/>
      </w:pPr>
      <w:r>
        <w:t>41.</w:t>
      </w:r>
      <w:r>
        <w:t>   V § 21 odst. 3 písm. c) se doplňuje bod 4, který zní:</w:t>
      </w:r>
    </w:p>
    <w:p w:rsidR="00A77B3E">
      <w:pPr>
        <w:pStyle w:val="12"/>
      </w:pPr>
    </w:p>
    <w:p w:rsidR="00A77B3E">
      <w:pPr>
        <w:pStyle w:val="14"/>
      </w:pPr>
      <w:r>
        <w:t>„4.</w:t>
      </w:r>
      <w:r>
        <w:t>   doporučení nápravného opatření k řešení odchylky od bezpečnostního požadavku,“.</w:t>
      </w:r>
    </w:p>
    <w:p w:rsidR="00A77B3E">
      <w:pPr>
        <w:pStyle w:val="9"/>
      </w:pPr>
      <w:r>
        <w:t>42.</w:t>
      </w:r>
      <w:r>
        <w:t>   V § 21 odst. 3 písm. d) se slova „vyhodnocení bezpečnostního významu odchylek od bezpečnostních požadavků“ nahrazují slovy „v případě záznamů o provedeném hodnocení skutečného stavu systémů, konstrukcí“.</w:t>
      </w:r>
    </w:p>
    <w:p w:rsidR="00A77B3E">
      <w:pPr>
        <w:pStyle w:val="10"/>
      </w:pPr>
      <w:r>
        <w:t>43.</w:t>
      </w:r>
      <w:r>
        <w:t>   V § 21 odst. 3 písm. d) se na konci doplňují slova „komponent dále“.</w:t>
      </w:r>
    </w:p>
    <w:p w:rsidR="00A77B3E">
      <w:pPr>
        <w:pStyle w:val="11"/>
      </w:pPr>
      <w:r>
        <w:t>44.</w:t>
      </w:r>
      <w:r>
        <w:t>   V § 21 odst. 3 písm. d) se doplňuje bod 1, který zní:</w:t>
      </w:r>
    </w:p>
    <w:p w:rsidR="00A77B3E">
      <w:pPr>
        <w:pStyle w:val="12"/>
      </w:pPr>
    </w:p>
    <w:p w:rsidR="00A77B3E">
      <w:pPr>
        <w:pStyle w:val="14"/>
      </w:pPr>
      <w:r>
        <w:t>„1.</w:t>
      </w:r>
      <w:r>
        <w:t>   výčet systémů, konstrukcí a komponent, u kterých není možné prověřit skutečný stav technickými metodami,“.</w:t>
      </w:r>
    </w:p>
    <w:p w:rsidR="00A77B3E">
      <w:pPr>
        <w:pStyle w:val="15"/>
      </w:pPr>
      <w:r>
        <w:t>45.</w:t>
      </w:r>
      <w:r>
        <w:t>   V § 21 odst. 3 písm. d) se doplňuje bod 2, který zní:</w:t>
      </w:r>
    </w:p>
    <w:p w:rsidR="00A77B3E">
      <w:pPr>
        <w:pStyle w:val="12"/>
      </w:pPr>
    </w:p>
    <w:p w:rsidR="00A77B3E">
      <w:pPr>
        <w:pStyle w:val="14"/>
      </w:pPr>
      <w:r>
        <w:t>„2.</w:t>
      </w:r>
      <w:r>
        <w:t>   popis nepřímých metod hodnocení stavu systémů, konstrukcí a komponent podle bodu 1 a“.</w:t>
      </w:r>
    </w:p>
    <w:p w:rsidR="00A77B3E">
      <w:pPr>
        <w:pStyle w:val="15"/>
      </w:pPr>
      <w:r>
        <w:t>46.</w:t>
      </w:r>
      <w:r>
        <w:t>   V § 21 odst. 3 písm. d) se doplňuje bod 3, který zní:</w:t>
      </w:r>
    </w:p>
    <w:p w:rsidR="00A77B3E">
      <w:pPr>
        <w:pStyle w:val="12"/>
      </w:pPr>
    </w:p>
    <w:p w:rsidR="00A77B3E">
      <w:pPr>
        <w:pStyle w:val="14"/>
      </w:pPr>
      <w:r>
        <w:t>„3.</w:t>
      </w:r>
      <w:r>
        <w:t>   vyhodnocení nemožnosti prověřit skutečný stav technickými metodami z hlediska závažnosti pro jadernou bezpečnost, radiační ochranu, technickou bezpečnost, monitorování radiační situace a zvládání radiační mimořádné události.“.</w:t>
      </w:r>
    </w:p>
    <w:p w:rsidR="00A77B3E">
      <w:pPr>
        <w:pStyle w:val="9"/>
      </w:pPr>
      <w:r>
        <w:t>47.</w:t>
      </w:r>
      <w:r>
        <w:t>   V § 21 odst. 3 se písmeno e) zrušuje.</w:t>
      </w:r>
    </w:p>
    <w:p w:rsidR="00A77B3E">
      <w:pPr>
        <w:pStyle w:val="10"/>
      </w:pPr>
      <w:r>
        <w:t>48.</w:t>
      </w:r>
      <w:r>
        <w:t>   V § 21 odst. 4 písm. a) se na konci textu doplňují slova „a výtah z bezpečnostních požadavků pro oblast hodnocení, včetně odkazu na podrobnou informaci uvedenou v záznamu o provedeném hodnocení podle odstavce 3“.</w:t>
      </w:r>
    </w:p>
    <w:p w:rsidR="00A77B3E">
      <w:pPr>
        <w:pStyle w:val="10"/>
      </w:pPr>
      <w:r>
        <w:t>49.</w:t>
      </w:r>
      <w:r>
        <w:t>   V § 21 odst. 4 písm. b) se slova „seznam bezpečnostních požadavků“ nahrazují slovy „souhrn z dosažených výsledků hodnocení podle odstavce 3“.</w:t>
      </w:r>
    </w:p>
    <w:p w:rsidR="00A77B3E">
      <w:pPr>
        <w:pStyle w:val="10"/>
      </w:pPr>
      <w:r>
        <w:t>50.</w:t>
      </w:r>
      <w:r>
        <w:t>   V § 21 odst. 4 písm. c) úvodní části ustanovení se slova „výsledek hodnocení jednotlivých“ nahrazují slovy „souhrnný přehled odchylek od“.</w:t>
      </w:r>
    </w:p>
    <w:p w:rsidR="00A77B3E">
      <w:pPr>
        <w:pStyle w:val="10"/>
      </w:pPr>
      <w:r>
        <w:t>51.</w:t>
      </w:r>
      <w:r>
        <w:t>   V § 21 odst. 4 písm. c) úvodní části ustanovení se slova „s uvedením“ nahrazují slovy „a jejich významnosti, včetně návrhu řešení odchylek,“.</w:t>
      </w:r>
    </w:p>
    <w:p w:rsidR="00A77B3E">
      <w:pPr>
        <w:pStyle w:val="11"/>
      </w:pPr>
      <w:r>
        <w:t>52.</w:t>
      </w:r>
      <w:r>
        <w:t>   V § 21 odst. 4 písm. c) se bod 1 zrušuje.</w:t>
      </w:r>
    </w:p>
    <w:p w:rsidR="00A77B3E">
      <w:pPr>
        <w:pStyle w:val="16"/>
      </w:pPr>
      <w:r>
        <w:t>Dosavadní body 2 až 4 se označují jako body 1 až 3.</w:t>
      </w:r>
    </w:p>
    <w:p w:rsidR="00A77B3E">
      <w:pPr>
        <w:pStyle w:val="15"/>
      </w:pPr>
      <w:r>
        <w:t>53.</w:t>
      </w:r>
      <w:r>
        <w:t>   V § 21 odst. 4 písm. c) se bod 1 zrušuje.</w:t>
      </w:r>
    </w:p>
    <w:p w:rsidR="00A77B3E">
      <w:pPr>
        <w:pStyle w:val="16"/>
      </w:pPr>
      <w:r>
        <w:t>Dosavadní body 2 a 3 se označují jako body 1 a 2.</w:t>
      </w:r>
    </w:p>
    <w:p w:rsidR="00A77B3E">
      <w:pPr>
        <w:pStyle w:val="15"/>
      </w:pPr>
      <w:r>
        <w:t>54.</w:t>
      </w:r>
      <w:r>
        <w:t>   V § 21 odst. 4 písm. c) se bod 1 zrušuje.</w:t>
      </w:r>
    </w:p>
    <w:p w:rsidR="00A77B3E">
      <w:pPr>
        <w:pStyle w:val="16"/>
      </w:pPr>
      <w:r>
        <w:t>Dosavadní bod 2 se označuje jako bod 1.</w:t>
      </w:r>
    </w:p>
    <w:p w:rsidR="00A77B3E">
      <w:pPr>
        <w:pStyle w:val="9"/>
      </w:pPr>
      <w:r>
        <w:t>55.</w:t>
      </w:r>
      <w:r>
        <w:t>   V § 21 odst. 4 písm. c) se bod 1 zrušuje.</w:t>
      </w:r>
    </w:p>
    <w:p w:rsidR="00A77B3E">
      <w:pPr>
        <w:pStyle w:val="10"/>
      </w:pPr>
      <w:r>
        <w:t>56.</w:t>
      </w:r>
      <w:r>
        <w:t>   V § 21 odst. 4 písm. d) úvodní části ustanovení se slovo „dále“ nahrazuje slovy „, pokud je v průběhu hodnocení a provádění záznamů o hodnocení postupováno podle odstavce 3 písm. d), uvést“.</w:t>
      </w:r>
    </w:p>
    <w:p w:rsidR="00A77B3E">
      <w:pPr>
        <w:pStyle w:val="10"/>
      </w:pPr>
      <w:r>
        <w:t>57.</w:t>
      </w:r>
      <w:r>
        <w:t>   V § 21 odst. 4 písm. d) bodě 1 se slova „výčet systémů“ nahrazují slovy „souhrnnou informaci o systémech“.</w:t>
      </w:r>
    </w:p>
    <w:p w:rsidR="00A77B3E">
      <w:pPr>
        <w:pStyle w:val="10"/>
      </w:pPr>
      <w:r>
        <w:t>58.</w:t>
      </w:r>
      <w:r>
        <w:t>   V § 21 odst. 4 písm. d) bodě 1 se slova „konstrukcí a komponent“ nahrazují slovy „konstrukcích nebo komponentách“.</w:t>
      </w:r>
    </w:p>
    <w:p w:rsidR="00A77B3E">
      <w:pPr>
        <w:pStyle w:val="10"/>
      </w:pPr>
      <w:r>
        <w:t>59.</w:t>
      </w:r>
      <w:r>
        <w:t>   V § 21 odst. 4 písm. d) bodě 1 se slovo „není“ nahrazuje slovem „nebylo“.</w:t>
      </w:r>
    </w:p>
    <w:p w:rsidR="00A77B3E">
      <w:pPr>
        <w:pStyle w:val="10"/>
      </w:pPr>
      <w:r>
        <w:t>60.</w:t>
      </w:r>
      <w:r>
        <w:t>   V § 21 odst. 4 písm. d) bodě 2 se slova „popis nepřímých metod“ nahrazují slovy „informaci o aplikované nepřímé metodě“.</w:t>
      </w:r>
    </w:p>
    <w:p w:rsidR="00A77B3E">
      <w:pPr>
        <w:pStyle w:val="10"/>
      </w:pPr>
      <w:r>
        <w:t>61.</w:t>
      </w:r>
      <w:r>
        <w:t>   V § 21 odst. 4 písm. d) bodě 2 se slova „stavu systémů“ nahrazují slovy „a jejích výsledcích“.</w:t>
      </w:r>
    </w:p>
    <w:p w:rsidR="00A77B3E">
      <w:pPr>
        <w:pStyle w:val="10"/>
      </w:pPr>
      <w:r>
        <w:t>62.</w:t>
      </w:r>
      <w:r>
        <w:t>   V § 21 odst. 4 písm. d) bodě 2 se slova „konstrukcí a komponent podle bodu 1 a“ zrušují.</w:t>
      </w:r>
    </w:p>
    <w:p w:rsidR="00A77B3E">
      <w:pPr>
        <w:pStyle w:val="10"/>
      </w:pPr>
      <w:r>
        <w:t>63.</w:t>
      </w:r>
      <w:r>
        <w:t>   V § 21 odst. 4 písm. d) bodě 3 se za slovo „vyhodnocení“ vkládá slovo „závažnosti“.</w:t>
      </w:r>
    </w:p>
    <w:p w:rsidR="00A77B3E">
      <w:pPr>
        <w:pStyle w:val="10"/>
      </w:pPr>
      <w:r>
        <w:t>64.</w:t>
      </w:r>
      <w:r>
        <w:t>   V § 21 odst. 4 písm. d) bodě 3 se slova „z hlediska závažnosti pro jadernou bezpečnost, radiační ochranu, technickou bezpečnost, monitorování radiační situace“ zrušují.</w:t>
      </w:r>
    </w:p>
    <w:p w:rsidR="00A77B3E">
      <w:pPr>
        <w:pStyle w:val="10"/>
      </w:pPr>
      <w:r>
        <w:t>65.</w:t>
      </w:r>
      <w:r>
        <w:t>   V § 21 odst. 4 písm. d) bodě 3 se slova „zvládání radiační mimořádné události.“ zrušují.</w:t>
      </w:r>
    </w:p>
    <w:p w:rsidR="00A77B3E">
      <w:pPr>
        <w:pStyle w:val="11"/>
      </w:pPr>
      <w:r>
        <w:t>66.</w:t>
      </w:r>
      <w:r>
        <w:t>   V § 21 odst. 4 písm. d) se doplňuje bod 4, který zní:</w:t>
      </w:r>
    </w:p>
    <w:p w:rsidR="00A77B3E">
      <w:pPr>
        <w:pStyle w:val="12"/>
      </w:pPr>
    </w:p>
    <w:p w:rsidR="00A77B3E">
      <w:pPr>
        <w:pStyle w:val="14"/>
      </w:pPr>
      <w:r>
        <w:t>„4.</w:t>
      </w:r>
      <w:r>
        <w:t>   odkaz na podrobnou informaci uvedenou v záznamu o provedeném hodnocení podle odstavce 3 písm. d) a“.</w:t>
      </w:r>
    </w:p>
    <w:p w:rsidR="00A77B3E">
      <w:pPr>
        <w:pStyle w:val="15"/>
      </w:pPr>
      <w:r>
        <w:t>67.</w:t>
      </w:r>
      <w:r>
        <w:t>   V § 21 odst. 4 se doplňuje písmeno e), které zní:</w:t>
      </w:r>
    </w:p>
    <w:p w:rsidR="00A77B3E">
      <w:pPr>
        <w:pStyle w:val="12"/>
      </w:pPr>
    </w:p>
    <w:p w:rsidR="00A77B3E">
      <w:pPr>
        <w:pStyle w:val="13"/>
      </w:pPr>
      <w:r>
        <w:t>„e)</w:t>
      </w:r>
      <w:r>
        <w:t>   závěr z hodnocení za oblast umožňující posouzení dosažené úrovně jaderné bezpečnosti, radiační ochrany, technické bezpečnosti, monitorování radiační situace a zvládání radiační mimořádné události dosažené v hodnoceném období.“.</w:t>
      </w:r>
    </w:p>
    <w:p w:rsidR="00A77B3E">
      <w:pPr>
        <w:pStyle w:val="9"/>
      </w:pPr>
      <w:r>
        <w:t>68.</w:t>
      </w:r>
      <w:r>
        <w:t>   V § 23 odst. 1 úvodní části ustanovení se za slovo „provedením“ vkládají slova „změny ovlivňující jadernou bezpečnost, technickou bezpečnost a zabezpečení jaderného zařízení nebo jiné“.</w:t>
      </w:r>
    </w:p>
    <w:p w:rsidR="00A77B3E">
      <w:pPr>
        <w:pStyle w:val="10"/>
      </w:pPr>
      <w:r>
        <w:t>69.</w:t>
      </w:r>
      <w:r>
        <w:t>   V § 23 odst. 2 úvodní části ustanovení se za slovo „provedením“ vkládají slova „změny ovlivňující jadernou bezpečnost, technickou bezpečnost a zabezpečení jaderného zařízení nebo jiné“.</w:t>
      </w:r>
    </w:p>
    <w:p w:rsidR="00A77B3E">
      <w:pPr>
        <w:pStyle w:val="10"/>
      </w:pPr>
      <w:r>
        <w:t>70.</w:t>
      </w:r>
      <w:r>
        <w:t>   V § 23 odst. 3 úvodní části ustanovení se slova „prvním fyzikálním spouštění“ nahrazují slovy „uvádění do provozu“.</w:t>
      </w:r>
    </w:p>
    <w:p w:rsidR="00A77B3E">
      <w:pPr>
        <w:pStyle w:val="10"/>
      </w:pPr>
      <w:r>
        <w:t>71.</w:t>
      </w:r>
      <w:r>
        <w:t>   V § 23 odst. 3 písm. a) se za slovo „stárnutí“ vkládají slova „a zastarávání“.</w:t>
      </w:r>
    </w:p>
    <w:p w:rsidR="00A77B3E">
      <w:pPr>
        <w:pStyle w:val="10"/>
      </w:pPr>
      <w:r>
        <w:t>72.</w:t>
      </w:r>
      <w:r>
        <w:t>   V § 23 odst. 3 písm. c) se na konci textu doplňují slova „a zastarávání“.</w:t>
      </w:r>
    </w:p>
    <w:p w:rsidR="00A77B3E">
      <w:pPr>
        <w:pStyle w:val="11"/>
      </w:pPr>
      <w:r>
        <w:t>73.</w:t>
      </w:r>
      <w:r>
        <w:t>   V § 25 se doplňuje odstavec 5, který zní:</w:t>
      </w:r>
    </w:p>
    <w:p w:rsidR="00A77B3E">
      <w:pPr>
        <w:pStyle w:val="12"/>
      </w:pPr>
    </w:p>
    <w:p w:rsidR="00A77B3E">
      <w:pPr>
        <w:pStyle w:val="17"/>
      </w:pPr>
      <w:r>
        <w:t>„(5)</w:t>
      </w:r>
      <w:r>
        <w:t>   Dokumentace zvláštního hodnocení bezpečnosti podle § 24 odst. 2 musí být předložena Úřadu do 30 dnů po došetření a zhodnocení bezpečnostních aspektů provozní události, ze kterých vyplynulo podezření na snížení úrovně jaderné bezpečnosti, radiační ochrany, technické bezpečnosti, monitorování radiační situace, zvládání radiační mimořádné události nebo zabezpečení.“.</w:t>
      </w:r>
    </w:p>
    <w:p w:rsidR="00A77B3E">
      <w:pPr>
        <w:pStyle w:val="7"/>
      </w:pPr>
      <w:r>
        <w:t>Čl. II</w:t>
      </w:r>
    </w:p>
    <w:p w:rsidR="00A77B3E">
      <w:pPr>
        <w:pStyle w:val="18"/>
      </w:pPr>
      <w:r>
        <w:t>Účinnost</w:t>
      </w:r>
    </w:p>
    <w:p w:rsidR="00A77B3E">
      <w:pPr>
        <w:pStyle w:val="1"/>
      </w:pPr>
    </w:p>
    <w:p w:rsidR="00A77B3E">
      <w:pPr>
        <w:pStyle w:val="8"/>
      </w:pPr>
      <w:r>
        <w:t>Tato vyhláška nabývá účinnosti dnem 1. ledna 2026.</w:t>
      </w:r>
    </w:p>
    <w:p w:rsidR="00A77B3E">
      <w:pPr>
        <w:pStyle w:val="1"/>
      </w:pP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Otevřená verze: 2025-0162-001-TVO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Otevřená verze: 2025-0162-001-TVO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9">
    <w:name w:val="9"/>
    <w:pPr>
      <w:overflowPunct/>
      <w:spacing w:before="0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9start">
    <w:name w:val="Varianta_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9konec">
    <w:name w:val="Varianta_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9start">
    <w:name w:val="Ucinnost_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9konec">
    <w:name w:val="Ucinnost_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9start">
    <w:name w:val="Pripominky_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0">
    <w:name w:val="10"/>
    <w:pPr>
      <w:overflowPunct/>
      <w:spacing w:before="28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1">
    <w:name w:val="11"/>
    <w:pPr>
      <w:overflowPunct/>
      <w:spacing w:before="28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2">
    <w:name w:val="12"/>
    <w:pPr>
      <w:spacing w:before="0" w:after="0"/>
      <w:ind w:left="68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13">
    <w:name w:val="13"/>
    <w:pPr>
      <w:overflowPunct/>
      <w:spacing w:before="0" w:after="22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overflowPunct/>
      <w:spacing w:before="0" w:after="113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5">
    <w:name w:val="15"/>
    <w:pPr>
      <w:overflowPunct/>
      <w:spacing w:before="0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6">
    <w:name w:val="16"/>
    <w:pPr>
      <w:spacing w:before="0" w:after="57"/>
      <w:ind w:left="34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7">
    <w:name w:val="17"/>
    <w:pPr>
      <w:overflowPunct/>
      <w:spacing w:before="0" w:after="57"/>
      <w:ind w:left="119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