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2D" w:rsidRPr="0058070C" w:rsidRDefault="0050642D" w:rsidP="002C7C37">
      <w:pPr>
        <w:ind w:firstLine="360"/>
        <w:rPr>
          <w:b/>
        </w:rPr>
      </w:pPr>
      <w:r w:rsidRPr="0058070C">
        <w:rPr>
          <w:b/>
        </w:rPr>
        <w:t xml:space="preserve">Stanovisko </w:t>
      </w:r>
      <w:r w:rsidR="005321D9" w:rsidRPr="0058070C">
        <w:rPr>
          <w:b/>
        </w:rPr>
        <w:t>Státní</w:t>
      </w:r>
      <w:r w:rsidRPr="0058070C">
        <w:rPr>
          <w:b/>
        </w:rPr>
        <w:t>ho</w:t>
      </w:r>
      <w:r w:rsidR="005321D9" w:rsidRPr="0058070C">
        <w:rPr>
          <w:b/>
        </w:rPr>
        <w:t xml:space="preserve"> úřad</w:t>
      </w:r>
      <w:r w:rsidRPr="0058070C">
        <w:rPr>
          <w:b/>
        </w:rPr>
        <w:t>u</w:t>
      </w:r>
      <w:r w:rsidR="005321D9" w:rsidRPr="0058070C">
        <w:rPr>
          <w:b/>
        </w:rPr>
        <w:t xml:space="preserve"> pro jadernou bezpečnost </w:t>
      </w:r>
      <w:r w:rsidR="007C770E" w:rsidRPr="0058070C">
        <w:rPr>
          <w:b/>
        </w:rPr>
        <w:t xml:space="preserve">k problematice </w:t>
      </w:r>
      <w:r w:rsidR="005321D9" w:rsidRPr="0058070C">
        <w:rPr>
          <w:b/>
        </w:rPr>
        <w:t>optimalizace v oblasti radioterapie a to zejména v souvislosti s </w:t>
      </w:r>
      <w:r w:rsidR="005C3AB4" w:rsidRPr="0058070C">
        <w:rPr>
          <w:b/>
        </w:rPr>
        <w:t>podmínkami pro indikace protonové léčby, které jsou</w:t>
      </w:r>
      <w:r w:rsidR="005321D9" w:rsidRPr="0058070C">
        <w:rPr>
          <w:b/>
        </w:rPr>
        <w:t xml:space="preserve"> uveden</w:t>
      </w:r>
      <w:r w:rsidR="005C3AB4" w:rsidRPr="0058070C">
        <w:rPr>
          <w:b/>
        </w:rPr>
        <w:t>y</w:t>
      </w:r>
      <w:r w:rsidR="005321D9" w:rsidRPr="0058070C">
        <w:rPr>
          <w:b/>
        </w:rPr>
        <w:t xml:space="preserve"> ve vyhlášce č</w:t>
      </w:r>
      <w:r w:rsidR="00D326C0" w:rsidRPr="0058070C">
        <w:rPr>
          <w:b/>
        </w:rPr>
        <w:t>.</w:t>
      </w:r>
      <w:r w:rsidR="002C7C37" w:rsidRPr="0058070C">
        <w:rPr>
          <w:b/>
        </w:rPr>
        <w:t xml:space="preserve">  134/1998 Sb.</w:t>
      </w:r>
      <w:r w:rsidR="005321D9" w:rsidRPr="0058070C">
        <w:rPr>
          <w:b/>
        </w:rPr>
        <w:t xml:space="preserve"> </w:t>
      </w:r>
    </w:p>
    <w:p w:rsidR="004E03D7" w:rsidRDefault="00B11960" w:rsidP="000874FE">
      <w:pPr>
        <w:ind w:firstLine="708"/>
        <w:jc w:val="both"/>
      </w:pPr>
      <w:r>
        <w:t>SÚJB inicioval n</w:t>
      </w:r>
      <w:r w:rsidR="007C770E">
        <w:t xml:space="preserve">a </w:t>
      </w:r>
      <w:r w:rsidR="000874FE">
        <w:t xml:space="preserve">základě kompetence svěřené </w:t>
      </w:r>
      <w:r>
        <w:t>mu</w:t>
      </w:r>
      <w:r w:rsidR="000874FE">
        <w:t xml:space="preserve"> </w:t>
      </w:r>
      <w:r>
        <w:t xml:space="preserve">zákonem č. 263/2016 Sb., atomový zákon </w:t>
      </w:r>
      <w:r w:rsidR="007C770E">
        <w:t xml:space="preserve">a zákonem </w:t>
      </w:r>
      <w:r>
        <w:t xml:space="preserve">č. 373/2011 Sb., </w:t>
      </w:r>
      <w:r w:rsidR="007C770E">
        <w:t xml:space="preserve">o specifických </w:t>
      </w:r>
      <w:r w:rsidR="000874FE">
        <w:t>zdravotních službách</w:t>
      </w:r>
      <w:r>
        <w:t>,</w:t>
      </w:r>
      <w:r w:rsidR="000874FE">
        <w:t xml:space="preserve"> v roce 2018 změnu vyhlášky č</w:t>
      </w:r>
      <w:r w:rsidR="00943F17">
        <w:t>. </w:t>
      </w:r>
      <w:r w:rsidR="000874FE">
        <w:t>134/1998 Sb., která mimo jiné stanovuje podmínky pro indikace protonové léčby. SÚJB navrhnul vypuštění výčtu</w:t>
      </w:r>
      <w:r w:rsidR="000874FE" w:rsidRPr="00A60945">
        <w:t xml:space="preserve"> </w:t>
      </w:r>
      <w:r w:rsidR="000874FE">
        <w:rPr>
          <w:i/>
        </w:rPr>
        <w:t>i</w:t>
      </w:r>
      <w:r w:rsidR="000874FE" w:rsidRPr="00A60945">
        <w:rPr>
          <w:i/>
        </w:rPr>
        <w:t>ndikac</w:t>
      </w:r>
      <w:r w:rsidR="000874FE">
        <w:rPr>
          <w:i/>
        </w:rPr>
        <w:t>í</w:t>
      </w:r>
      <w:r w:rsidR="000874FE" w:rsidRPr="00A60945">
        <w:rPr>
          <w:i/>
        </w:rPr>
        <w:t xml:space="preserve"> pro protonovou léčbu </w:t>
      </w:r>
      <w:r w:rsidR="000874FE" w:rsidRPr="00A60945">
        <w:t xml:space="preserve">a </w:t>
      </w:r>
      <w:r w:rsidR="000874FE">
        <w:t>to z toho důvodu, že nesprávně aplikoval princip optimalizace radiační ochrany, který je primárně zakotven v</w:t>
      </w:r>
      <w:r>
        <w:t xml:space="preserve"> atomovém</w:t>
      </w:r>
      <w:r w:rsidR="000874FE">
        <w:t xml:space="preserve"> zákon</w:t>
      </w:r>
      <w:r>
        <w:t>ě</w:t>
      </w:r>
      <w:r w:rsidR="000874FE">
        <w:t>, a v jeho prováděcím předpise vyhlášce č. 422/2016 Sb., o radiační ochraně a zabezpečení radionuklidového zdroje. Principem optimalizace lékařského ozáření se speciálně zabývá vyhláška č. 410/2012 Sb., o stanovení pravidel a postupů při lékařském záření, která je prováděcí</w:t>
      </w:r>
      <w:r w:rsidR="00943F17">
        <w:t>m právním předpisem k zákonu č. </w:t>
      </w:r>
      <w:r w:rsidR="000874FE">
        <w:t xml:space="preserve">373/2011 Sb., o specifických zdravotních službách. Všechny tyto legislativní požadavky jsou transpozicí evropské legislativy a mezinárodních doporučení. </w:t>
      </w:r>
    </w:p>
    <w:p w:rsidR="000874FE" w:rsidRDefault="000874FE" w:rsidP="00943F17">
      <w:pPr>
        <w:ind w:firstLine="708"/>
        <w:jc w:val="both"/>
      </w:pPr>
      <w:r>
        <w:t xml:space="preserve">Konkrétně, § 2 písm. c) vyhlášky č. 410/2012 Sb., o stanovení pravidel a postupů při lékařském ozáření uvádí: </w:t>
      </w:r>
    </w:p>
    <w:p w:rsidR="000874FE" w:rsidRPr="00F72AE6" w:rsidRDefault="000874FE" w:rsidP="000874FE">
      <w:pPr>
        <w:jc w:val="both"/>
        <w:rPr>
          <w:i/>
        </w:rPr>
      </w:pPr>
      <w:r w:rsidRPr="00F72AE6">
        <w:rPr>
          <w:i/>
        </w:rPr>
        <w:t xml:space="preserve">V rámci optimalizace radiační ochrany při lékařském ozáření se vedle postupů stanovených právními předpisy upravujícími mírové využívání jaderné energie a ionizujícího záření zajistí tyto postupy: </w:t>
      </w:r>
    </w:p>
    <w:p w:rsidR="000874FE" w:rsidRPr="00F72AE6" w:rsidRDefault="000874FE" w:rsidP="000874FE">
      <w:pPr>
        <w:jc w:val="both"/>
        <w:rPr>
          <w:i/>
        </w:rPr>
      </w:pPr>
      <w:r w:rsidRPr="00F72AE6">
        <w:rPr>
          <w:i/>
        </w:rPr>
        <w:t>c) při výkonech v oblasti radioterapie se zajistí, aby lékařské ozáření směřovalo na cílový objem tkání, na který je léčba zářením zaměřena; ozáření cílového objemu tkání se provádí pouze v rozsahu nezbytném k dosažení požadovaného léčebného účinku a ozáření ostatních tkání musí být tak nízké, jak lze rozumně dosáhnout bez omezení léčebného přínosu.</w:t>
      </w:r>
    </w:p>
    <w:p w:rsidR="000874FE" w:rsidRDefault="000874FE" w:rsidP="00943F17">
      <w:pPr>
        <w:ind w:firstLine="708"/>
        <w:jc w:val="both"/>
      </w:pPr>
      <w:r>
        <w:t xml:space="preserve">Podle původního textu vyhlášky č. 134/1998 Sb. byla volba správné léčebné modality zavádějící, neboť protonová terapie byla zcela nesprávně podmíněna překročením jakýchsi blíže legislativou nedefinovaných </w:t>
      </w:r>
      <w:r w:rsidRPr="005C3AB4">
        <w:t>„dávkových limitů“</w:t>
      </w:r>
      <w:r>
        <w:t xml:space="preserve"> na okolní tkáně a orgány fotonovou terapií, a to i</w:t>
      </w:r>
      <w:r w:rsidR="00943F17">
        <w:t> </w:t>
      </w:r>
      <w:r>
        <w:t>v případech, kdy by protonová terapie rozumně umožňovala nižší radiační zátěž ostatních tkání bez omezení léčebného přínosu.</w:t>
      </w:r>
      <w:r w:rsidRPr="00B34033">
        <w:t xml:space="preserve"> </w:t>
      </w:r>
      <w:r>
        <w:t>Dosavadní text vyhlášky č. 134/1998 Sb. zahrnující taxativní výčet indikací protonové léčby tak byl v přímém rozporu s uvedeným ustanovením vyhlášky č. 410/2012 Sb., které velmi přesně transponuje požadavky na optimalizaci lékařského ozáření uvedené ve Směrnici Rady 2013/59/Euratom.</w:t>
      </w:r>
    </w:p>
    <w:p w:rsidR="0050642D" w:rsidRPr="00A519F3" w:rsidRDefault="000874FE" w:rsidP="0090446F">
      <w:pPr>
        <w:ind w:firstLine="708"/>
        <w:jc w:val="both"/>
        <w:rPr>
          <w:i/>
        </w:rPr>
      </w:pPr>
      <w:r>
        <w:t xml:space="preserve">SÚJB zdůrazňuje, že nejsou stanoveny žádné „dávkové limity“ pro okolní tkáně a orgány při radioterapii. Pojem „limity ozáření“ je používán v oboru radiační ochrany ve zcela jiném kontextu, než bylo uvedeno ve vyhlášce č. 134/1998 Sb. Při použití zdrojů ionizujícího záření v lékařství se limity ozáření nepoužívají. V případě plánování radioterapie se hodnotí zejména pravděpodobnost výskytu nežádoucích účinků na okolní tkáně a orgány a jejich závažnost při co nejefektivnějším terapeutickém účinku. Pro tento účel lze používat tzv. „toleranční dávky“, což jsou určité hodnoty dávek kvantifikující nežádoucí účinky po ozáření, </w:t>
      </w:r>
      <w:r w:rsidRPr="00FD33C2">
        <w:t xml:space="preserve">které jsou stanoveny pro různé orgány a tkáně na základě dostupných informací </w:t>
      </w:r>
      <w:r>
        <w:t>-</w:t>
      </w:r>
      <w:r w:rsidRPr="00FD33C2">
        <w:t xml:space="preserve"> nejčastěji jsou v této souvislosti zmiňovány hodnoty získané v rámci tzv. studie QUANTEC</w:t>
      </w:r>
      <w:r>
        <w:t xml:space="preserve">  </w:t>
      </w:r>
      <w:r>
        <w:rPr>
          <w:lang w:val="en-US"/>
        </w:rPr>
        <w:t>(Quantitative Analysis of N</w:t>
      </w:r>
      <w:r w:rsidRPr="00FD33C2">
        <w:rPr>
          <w:lang w:val="en-US"/>
        </w:rPr>
        <w:t>ormal</w:t>
      </w:r>
      <w:r w:rsidRPr="00FD33C2">
        <w:t xml:space="preserve"> </w:t>
      </w:r>
      <w:r>
        <w:rPr>
          <w:lang w:val="en-US"/>
        </w:rPr>
        <w:t>Tissue Effects in the Cl</w:t>
      </w:r>
      <w:r w:rsidRPr="00FD33C2">
        <w:rPr>
          <w:lang w:val="en-US"/>
        </w:rPr>
        <w:t>inic</w:t>
      </w:r>
      <w:r w:rsidRPr="00FD33C2">
        <w:t>). Jejich použ</w:t>
      </w:r>
      <w:r>
        <w:t>ívání</w:t>
      </w:r>
      <w:r w:rsidRPr="00FD33C2">
        <w:t xml:space="preserve"> je ovšem doprovázeno mnoha výhradami a upozorněními na jejich omezené použití v</w:t>
      </w:r>
      <w:r>
        <w:t> </w:t>
      </w:r>
      <w:r w:rsidRPr="00FD33C2">
        <w:t>praxi</w:t>
      </w:r>
      <w:r>
        <w:t xml:space="preserve"> a je zdůrazňováno, že se vždy jedná o jeden z pomocných parametrů při individuálním plánování léčby. Rozhodně je nelze považovat za nějaké limity, které zaručí ve všech případech vyloučení nežádoucích </w:t>
      </w:r>
      <w:r>
        <w:lastRenderedPageBreak/>
        <w:t>účinků radioterapeutické léčby, a jejichž „dodržení či nedodržení“ by mělo automaticky rozhodnout o</w:t>
      </w:r>
      <w:r w:rsidR="00943F17">
        <w:t> </w:t>
      </w:r>
      <w:r>
        <w:t xml:space="preserve">tom, která metoda onkologické léčby by měla být zvolena, jak to bylo uvedeno v původním znění vyhlášky č. 134/1998 Sb. K tomuto účelu toleranční dávky nikdy nebyly určeny. </w:t>
      </w:r>
      <w:r w:rsidR="00CA06CC">
        <w:t xml:space="preserve">Více informací v publikaci </w:t>
      </w:r>
      <w:hyperlink r:id="rId6" w:tooltip="Opens internal link in current window" w:history="1">
        <w:r w:rsidR="00CA06CC">
          <w:rPr>
            <w:rStyle w:val="Hypertextovodkaz"/>
          </w:rPr>
          <w:t xml:space="preserve">Use </w:t>
        </w:r>
        <w:proofErr w:type="spellStart"/>
        <w:r w:rsidR="00CA06CC">
          <w:rPr>
            <w:rStyle w:val="Hypertextovodkaz"/>
          </w:rPr>
          <w:t>of</w:t>
        </w:r>
        <w:proofErr w:type="spellEnd"/>
        <w:r w:rsidR="00CA06CC">
          <w:rPr>
            <w:rStyle w:val="Hypertextovodkaz"/>
          </w:rPr>
          <w:t xml:space="preserve"> </w:t>
        </w:r>
        <w:proofErr w:type="spellStart"/>
        <w:r w:rsidR="00CA06CC">
          <w:rPr>
            <w:rStyle w:val="Hypertextovodkaz"/>
          </w:rPr>
          <w:t>Normal</w:t>
        </w:r>
        <w:proofErr w:type="spellEnd"/>
        <w:r w:rsidR="00CA06CC">
          <w:rPr>
            <w:rStyle w:val="Hypertextovodkaz"/>
          </w:rPr>
          <w:t xml:space="preserve"> </w:t>
        </w:r>
        <w:proofErr w:type="spellStart"/>
        <w:r w:rsidR="00CA06CC">
          <w:rPr>
            <w:rStyle w:val="Hypertextovodkaz"/>
          </w:rPr>
          <w:t>Tissue</w:t>
        </w:r>
        <w:proofErr w:type="spellEnd"/>
        <w:r w:rsidR="00CA06CC">
          <w:rPr>
            <w:rStyle w:val="Hypertextovodkaz"/>
          </w:rPr>
          <w:t xml:space="preserve"> </w:t>
        </w:r>
        <w:proofErr w:type="spellStart"/>
        <w:r w:rsidR="00CA06CC">
          <w:rPr>
            <w:rStyle w:val="Hypertextovodkaz"/>
          </w:rPr>
          <w:t>Complication</w:t>
        </w:r>
        <w:proofErr w:type="spellEnd"/>
        <w:r w:rsidR="00CA06CC">
          <w:rPr>
            <w:rStyle w:val="Hypertextovodkaz"/>
          </w:rPr>
          <w:t xml:space="preserve"> Probability </w:t>
        </w:r>
        <w:proofErr w:type="spellStart"/>
        <w:r w:rsidR="00CA06CC">
          <w:rPr>
            <w:rStyle w:val="Hypertextovodkaz"/>
          </w:rPr>
          <w:t>Models</w:t>
        </w:r>
        <w:proofErr w:type="spellEnd"/>
        <w:r w:rsidR="00CA06CC">
          <w:rPr>
            <w:rStyle w:val="Hypertextovodkaz"/>
          </w:rPr>
          <w:t xml:space="preserve"> in </w:t>
        </w:r>
        <w:proofErr w:type="spellStart"/>
        <w:r w:rsidR="00CA06CC">
          <w:rPr>
            <w:rStyle w:val="Hypertextovodkaz"/>
          </w:rPr>
          <w:t>the</w:t>
        </w:r>
        <w:proofErr w:type="spellEnd"/>
        <w:r w:rsidR="00CA06CC">
          <w:rPr>
            <w:rStyle w:val="Hypertextovodkaz"/>
          </w:rPr>
          <w:t xml:space="preserve"> </w:t>
        </w:r>
        <w:proofErr w:type="spellStart"/>
        <w:r w:rsidR="00CA06CC">
          <w:rPr>
            <w:rStyle w:val="Hypertextovodkaz"/>
          </w:rPr>
          <w:t>Clinic</w:t>
        </w:r>
        <w:proofErr w:type="spellEnd"/>
      </w:hyperlink>
      <w:r w:rsidR="00CA06CC">
        <w:t>, QUANTEC, NTCP, 2010 (PDF, 484 kB)</w:t>
      </w:r>
      <w:r w:rsidR="00CA06CC">
        <w:t>.</w:t>
      </w:r>
    </w:p>
    <w:p w:rsidR="000874FE" w:rsidRDefault="000874FE" w:rsidP="00957C58">
      <w:pPr>
        <w:ind w:firstLine="708"/>
        <w:jc w:val="both"/>
      </w:pPr>
      <w:r>
        <w:t xml:space="preserve">Správný postup pro indikaci protonové terapie pro jednotlivé pacienty by měl spočívat v návrhu léčby ze strany Komplexního onkologického centra (KOC), který by měl být potvrzen radiačním onkologem a aplikujícím odborníkem. K návrhům by se již neměl vyjadřovat revizní lékař zdravotní pojišťovny – rozhodně ne s právem </w:t>
      </w:r>
      <w:r w:rsidR="00D04FAA">
        <w:t>odmítnutí pacienta s</w:t>
      </w:r>
      <w:r>
        <w:t xml:space="preserve"> již schválenou léčb</w:t>
      </w:r>
      <w:r w:rsidR="00D04FAA">
        <w:t>ou</w:t>
      </w:r>
      <w:r>
        <w:t xml:space="preserve"> dle výše uvedeného postupu. Tento postup odpovídá také postupům při indikaci radioterapie jinými modalitami, pro které také není vyhláškou stanoven a priori omezený soupis diagnóz a indikací.  Onkologická léčba je příliš komplexní a specifická pro konkrétního pacienta, a proto je nesprávné, aby byl v legislativním předpisu zafixován jediný parametr, který rozhodne o tom, který typ onkologické léčby bude použit. </w:t>
      </w:r>
    </w:p>
    <w:p w:rsidR="000874FE" w:rsidRDefault="000874FE" w:rsidP="000874FE">
      <w:pPr>
        <w:ind w:firstLine="708"/>
        <w:jc w:val="both"/>
      </w:pPr>
      <w:r>
        <w:t>Na základě návrhu SÚJB byl text vyhlášky upraven ve spolupráci s MZ ČR následovně:</w:t>
      </w:r>
    </w:p>
    <w:p w:rsidR="000874FE" w:rsidRPr="00B30DFD" w:rsidRDefault="000874FE" w:rsidP="000874FE">
      <w:pPr>
        <w:rPr>
          <w:rFonts w:eastAsia="Calibri" w:cs="Arial"/>
          <w:i/>
        </w:rPr>
      </w:pPr>
      <w:r w:rsidRPr="00B30DFD">
        <w:rPr>
          <w:rFonts w:eastAsia="Calibri" w:cs="Arial"/>
          <w:i/>
        </w:rPr>
        <w:t xml:space="preserve">Výkon indikuje poskytovatel, který má statut centra vysoce specializované zdravotní péče v oboru onkologie udělený podle zákona o zdravotních službách. Tato indikace vychází </w:t>
      </w:r>
      <w:r w:rsidRPr="00B30DFD">
        <w:rPr>
          <w:rFonts w:cs="Arial"/>
          <w:i/>
        </w:rPr>
        <w:t>zejména</w:t>
      </w:r>
    </w:p>
    <w:p w:rsidR="000874FE" w:rsidRPr="009273BA" w:rsidRDefault="000874FE" w:rsidP="000874FE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9273BA">
        <w:rPr>
          <w:rFonts w:ascii="Arial" w:hAnsi="Arial" w:cs="Arial"/>
          <w:i/>
          <w:sz w:val="18"/>
          <w:szCs w:val="18"/>
        </w:rPr>
        <w:t>ze zhodnocení zdravotního stavu pacienta (diagnostický souhrn a anamnéza),</w:t>
      </w:r>
    </w:p>
    <w:p w:rsidR="000874FE" w:rsidRPr="009273BA" w:rsidRDefault="000874FE" w:rsidP="000874FE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9273BA">
        <w:rPr>
          <w:rFonts w:ascii="Arial" w:hAnsi="Arial" w:cs="Arial"/>
          <w:i/>
          <w:sz w:val="18"/>
          <w:szCs w:val="18"/>
        </w:rPr>
        <w:t xml:space="preserve">z řádného medicínského odůvodnění indikace protonové terapie jako optimálního způsobu ozáření cílového objemu dávkou nezbytnou k dosažení požadovaného léčebného účinku, přičemž ozáření ostatních tkání musí být tak nízké, jak lze rozumně dosáhnout bez omezení léčebného přínosu, </w:t>
      </w:r>
    </w:p>
    <w:p w:rsidR="000874FE" w:rsidRPr="009273BA" w:rsidRDefault="000874FE" w:rsidP="000874FE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cs="Arial"/>
          <w:i/>
          <w:sz w:val="18"/>
          <w:szCs w:val="18"/>
        </w:rPr>
      </w:pPr>
      <w:r w:rsidRPr="009273BA">
        <w:rPr>
          <w:rFonts w:ascii="Arial" w:hAnsi="Arial" w:cs="Arial"/>
          <w:i/>
          <w:sz w:val="18"/>
          <w:szCs w:val="18"/>
        </w:rPr>
        <w:t>ze závěru multidisciplinárního týmu Komplexního onkologického centra vycházejícího z multidisciplinárního indikačního semináře k určení optimálního způsobu léčby u nemocných se zhoubným onkologickým onemocněním, jehož součástí je zápis podepsaný nejméně vedoucím komplexního onkologického centra a radiačním onkologem.</w:t>
      </w:r>
    </w:p>
    <w:p w:rsidR="000874FE" w:rsidRDefault="000874FE" w:rsidP="000874FE">
      <w:pPr>
        <w:spacing w:after="0"/>
        <w:jc w:val="both"/>
        <w:rPr>
          <w:rFonts w:eastAsia="Calibri" w:cs="Arial"/>
          <w:i/>
        </w:rPr>
      </w:pPr>
    </w:p>
    <w:p w:rsidR="000874FE" w:rsidRDefault="000874FE" w:rsidP="000874FE">
      <w:pPr>
        <w:spacing w:after="0"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Na základě požadavku zdravotních pojišťoven a odborné společnosti, byl zachován i následující výčet indikací.</w:t>
      </w:r>
    </w:p>
    <w:p w:rsidR="000874FE" w:rsidRPr="009273BA" w:rsidRDefault="000874FE" w:rsidP="000874FE">
      <w:pPr>
        <w:spacing w:after="0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/>
          <w:sz w:val="18"/>
          <w:szCs w:val="18"/>
        </w:rPr>
        <w:t xml:space="preserve">Protonová léčba se indikuje </w:t>
      </w:r>
      <w:r w:rsidRPr="007F4294">
        <w:rPr>
          <w:rFonts w:eastAsia="Calibri" w:cs="Arial"/>
          <w:b/>
          <w:i/>
          <w:sz w:val="18"/>
          <w:szCs w:val="18"/>
          <w:u w:val="single"/>
        </w:rPr>
        <w:t>zejména</w:t>
      </w:r>
      <w:r w:rsidRPr="009273BA">
        <w:rPr>
          <w:rFonts w:eastAsia="Calibri" w:cs="Arial"/>
          <w:i/>
          <w:sz w:val="18"/>
          <w:szCs w:val="18"/>
        </w:rPr>
        <w:t xml:space="preserve"> v těchto diagnózách:</w:t>
      </w:r>
    </w:p>
    <w:p w:rsidR="000874FE" w:rsidRPr="009273BA" w:rsidRDefault="000874FE" w:rsidP="000874FE">
      <w:pPr>
        <w:spacing w:after="0"/>
        <w:ind w:left="708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/>
          <w:sz w:val="18"/>
          <w:szCs w:val="18"/>
        </w:rPr>
        <w:t>Radioterapie protony u dětských malignit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ozařování </w:t>
      </w:r>
      <w:proofErr w:type="spellStart"/>
      <w:r w:rsidRPr="009273BA">
        <w:rPr>
          <w:rFonts w:eastAsia="Calibri" w:cs="Arial"/>
          <w:i/>
          <w:sz w:val="18"/>
          <w:szCs w:val="18"/>
        </w:rPr>
        <w:t>kraniospinální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osy (meduloblastom),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nádory mozku a </w:t>
      </w:r>
      <w:proofErr w:type="spellStart"/>
      <w:r w:rsidRPr="009273BA">
        <w:rPr>
          <w:rFonts w:eastAsia="Calibri" w:cs="Arial"/>
          <w:i/>
          <w:sz w:val="18"/>
          <w:szCs w:val="18"/>
        </w:rPr>
        <w:t>paranasálních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dutin,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nádory oblasti pánve, nelze-li fotonovou technikou zajistit při</w:t>
      </w:r>
      <w:r w:rsidR="00943F17">
        <w:rPr>
          <w:rFonts w:eastAsia="Calibri" w:cs="Arial"/>
          <w:i/>
          <w:sz w:val="18"/>
          <w:szCs w:val="18"/>
        </w:rPr>
        <w:t>měřenou ochranu zdravých tkání a </w:t>
      </w:r>
      <w:r w:rsidRPr="009273BA">
        <w:rPr>
          <w:rFonts w:eastAsia="Calibri" w:cs="Arial"/>
          <w:i/>
          <w:sz w:val="18"/>
          <w:szCs w:val="18"/>
        </w:rPr>
        <w:t>orgánů,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</w:t>
      </w:r>
      <w:proofErr w:type="spellStart"/>
      <w:r w:rsidRPr="009273BA">
        <w:rPr>
          <w:rFonts w:eastAsia="Calibri" w:cs="Arial"/>
          <w:i/>
          <w:sz w:val="18"/>
          <w:szCs w:val="18"/>
        </w:rPr>
        <w:t>paraspinálně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uložené sarkomy a jiné nádory,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ve vybraných případech lymfomů mezihrudí,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nádory oka indikované k radioterapii,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708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/>
          <w:sz w:val="18"/>
          <w:szCs w:val="18"/>
        </w:rPr>
        <w:t>Radioterapie protony u dospělých pacientů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vybrané nádory CNS (především </w:t>
      </w:r>
      <w:proofErr w:type="spellStart"/>
      <w:r w:rsidRPr="009273BA">
        <w:rPr>
          <w:rFonts w:eastAsia="Calibri" w:cs="Arial"/>
          <w:i/>
          <w:sz w:val="18"/>
          <w:szCs w:val="18"/>
        </w:rPr>
        <w:t>chordomy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a nádory </w:t>
      </w:r>
      <w:proofErr w:type="spellStart"/>
      <w:r w:rsidRPr="009273BA">
        <w:rPr>
          <w:rFonts w:eastAsia="Calibri" w:cs="Arial"/>
          <w:i/>
          <w:sz w:val="18"/>
          <w:szCs w:val="18"/>
        </w:rPr>
        <w:t>baze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lební) a </w:t>
      </w:r>
      <w:proofErr w:type="spellStart"/>
      <w:r w:rsidRPr="009273BA">
        <w:rPr>
          <w:rFonts w:eastAsia="Calibri" w:cs="Arial"/>
          <w:i/>
          <w:sz w:val="18"/>
          <w:szCs w:val="18"/>
        </w:rPr>
        <w:t>paranasálních</w:t>
      </w:r>
      <w:proofErr w:type="spellEnd"/>
      <w:r w:rsidRPr="009273BA">
        <w:rPr>
          <w:rFonts w:eastAsia="Calibri" w:cs="Arial"/>
          <w:i/>
          <w:sz w:val="18"/>
          <w:szCs w:val="18"/>
        </w:rPr>
        <w:t xml:space="preserve"> dutin,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nádory oka, např. melanom uvey, nelze-li fotonovou technikou zajistit přiměřenou ochranu optických drah druhostranného oka,</w:t>
      </w:r>
    </w:p>
    <w:p w:rsidR="000874FE" w:rsidRPr="009273BA" w:rsidRDefault="000874FE" w:rsidP="000874FE">
      <w:pPr>
        <w:spacing w:after="0"/>
        <w:ind w:left="1416"/>
        <w:jc w:val="both"/>
        <w:rPr>
          <w:rFonts w:eastAsia="Calibri" w:cs="Arial"/>
          <w:i/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t>•</w:t>
      </w:r>
      <w:r w:rsidRPr="009273BA">
        <w:rPr>
          <w:rFonts w:eastAsia="Calibri" w:cs="Arial"/>
          <w:i/>
          <w:sz w:val="18"/>
          <w:szCs w:val="18"/>
        </w:rPr>
        <w:t xml:space="preserve"> lokalizovaný hepatocelulární karcinom indikovaný ke kurativní radioterapii, nelze-li fotonovou technikou zajistit přiměřenou ochranu zdravých tkání a orgánů,</w:t>
      </w:r>
    </w:p>
    <w:p w:rsidR="000874FE" w:rsidRPr="009273BA" w:rsidRDefault="000874FE" w:rsidP="000874FE">
      <w:pPr>
        <w:spacing w:after="0"/>
        <w:ind w:left="1416"/>
        <w:jc w:val="both"/>
        <w:rPr>
          <w:sz w:val="18"/>
          <w:szCs w:val="18"/>
        </w:rPr>
      </w:pPr>
      <w:r w:rsidRPr="009273BA">
        <w:rPr>
          <w:rFonts w:eastAsia="Calibri" w:cs="Arial"/>
          <w:iCs/>
          <w:sz w:val="18"/>
          <w:szCs w:val="18"/>
        </w:rPr>
        <w:lastRenderedPageBreak/>
        <w:t>•</w:t>
      </w:r>
      <w:r w:rsidRPr="009273BA">
        <w:rPr>
          <w:rFonts w:eastAsia="Calibri" w:cs="Arial"/>
          <w:i/>
          <w:sz w:val="18"/>
          <w:szCs w:val="18"/>
        </w:rPr>
        <w:t xml:space="preserve"> nemožnost dodržení dávkových limitů na zdravé tkáně i v případě použití moderních technik fotonové radioterapie (IMRT, stereotaktická radioterapie, radiochirurgie, </w:t>
      </w:r>
      <w:proofErr w:type="spellStart"/>
      <w:r w:rsidRPr="009273BA">
        <w:rPr>
          <w:rFonts w:eastAsia="Calibri" w:cs="Arial"/>
          <w:i/>
          <w:sz w:val="18"/>
          <w:szCs w:val="18"/>
        </w:rPr>
        <w:t>tomoterapie</w:t>
      </w:r>
      <w:proofErr w:type="spellEnd"/>
      <w:r w:rsidRPr="009273BA">
        <w:rPr>
          <w:rFonts w:eastAsia="Calibri" w:cs="Arial"/>
          <w:i/>
          <w:sz w:val="18"/>
          <w:szCs w:val="18"/>
        </w:rPr>
        <w:t>).</w:t>
      </w:r>
    </w:p>
    <w:p w:rsidR="000874FE" w:rsidRDefault="000874FE" w:rsidP="000874FE">
      <w:pPr>
        <w:jc w:val="both"/>
      </w:pPr>
      <w:r w:rsidRPr="00B92708">
        <w:t xml:space="preserve">Tato úprava </w:t>
      </w:r>
      <w:r>
        <w:t xml:space="preserve">byla do nové verze vyhlášky č. 134/1998 Sb. v roce 2018 přijata. </w:t>
      </w:r>
    </w:p>
    <w:p w:rsidR="000874FE" w:rsidRPr="009273BA" w:rsidRDefault="000874FE" w:rsidP="00B11960">
      <w:pPr>
        <w:ind w:firstLine="708"/>
        <w:jc w:val="both"/>
      </w:pPr>
      <w:r>
        <w:t>Přestože z textu nebyly ony „dávkové limity“ zcela odstraněny a ani ostatní formulace u výčtu indikací ne</w:t>
      </w:r>
      <w:r w:rsidR="00E81F3C">
        <w:t>lze stále ještě považovat za zcela správné</w:t>
      </w:r>
      <w:r>
        <w:t xml:space="preserve">, nejdůležitější pasáž zajišťující správnou optimalizaci radioterapeutické léčby uvedená v </w:t>
      </w:r>
      <w:proofErr w:type="gramStart"/>
      <w:r>
        <w:t>bodech a) ,b) a c) je</w:t>
      </w:r>
      <w:proofErr w:type="gramEnd"/>
      <w:r>
        <w:t xml:space="preserve"> ve vyhlášce nyní obsažena. </w:t>
      </w:r>
    </w:p>
    <w:p w:rsidR="00731692" w:rsidRDefault="000874FE" w:rsidP="001C1560">
      <w:pPr>
        <w:ind w:firstLine="708"/>
        <w:jc w:val="both"/>
      </w:pPr>
      <w:r w:rsidRPr="00957C58">
        <w:t xml:space="preserve">Uvedený výčet indikací </w:t>
      </w:r>
      <w:r w:rsidR="00957C58">
        <w:t xml:space="preserve">nyní již </w:t>
      </w:r>
      <w:r w:rsidRPr="00957C58">
        <w:t>není</w:t>
      </w:r>
      <w:r w:rsidR="00957C58">
        <w:t xml:space="preserve"> taxativní, ale demonstrativní </w:t>
      </w:r>
      <w:r w:rsidRPr="00957C58">
        <w:t>a je pouze na speciali</w:t>
      </w:r>
      <w:r w:rsidR="00957C58">
        <w:t xml:space="preserve">zovaných lékařích a členech KOC jakou léčbu pro konkrétního pacienta zvolí a </w:t>
      </w:r>
      <w:r w:rsidRPr="00957C58">
        <w:t>zda si pro své rozhodování vyžádají srovnávací plány nebo další potřebná vyšetření.</w:t>
      </w:r>
      <w:r w:rsidR="00B11960">
        <w:t xml:space="preserve"> </w:t>
      </w:r>
    </w:p>
    <w:p w:rsidR="000874FE" w:rsidRDefault="00B11960" w:rsidP="001C1560">
      <w:pPr>
        <w:ind w:firstLine="708"/>
        <w:jc w:val="both"/>
      </w:pPr>
      <w:r>
        <w:t xml:space="preserve">Zde je nutno také uvést, že </w:t>
      </w:r>
      <w:r w:rsidR="001C1560">
        <w:t xml:space="preserve">zákon č. 373/2011 Sb., o specifických zdravotních službách, jasně definuje indikujícího lékaře, jako ošetřujícího lékaře, který doporučuje se svým písemným odůvodněním pacienta k lékařskému ozáření aplikujícímu odborníkovi. Revizní lékař zdravotní pojišťovny nemůže být v žádném případě považován za indikujícího lékaře a lékařské ozáření provedené na základě jeho požadavku je považováno za neodůvodněné. </w:t>
      </w:r>
    </w:p>
    <w:p w:rsidR="00E81F3C" w:rsidRDefault="00E81F3C" w:rsidP="000874FE">
      <w:pPr>
        <w:ind w:firstLine="708"/>
        <w:jc w:val="both"/>
      </w:pPr>
      <w:r w:rsidRPr="0090446F">
        <w:t>Pokud někdo má závažné a odborně podložené důvody k tomu,</w:t>
      </w:r>
      <w:r w:rsidR="001C1560" w:rsidRPr="0090446F">
        <w:t xml:space="preserve"> aby protonová léčba</w:t>
      </w:r>
      <w:r w:rsidR="00CA06CC">
        <w:t xml:space="preserve"> nebyla z </w:t>
      </w:r>
      <w:r w:rsidRPr="0090446F">
        <w:t>nějakého důvodu prováděna nebo aby byla nějak omezena – měl by tyto důvody otevřeně a jasně specifikovat a obhájit a současně specifikovat odborně správná kritéria, na základě kterých bude tato léčba spravedlivě a jednot</w:t>
      </w:r>
      <w:r w:rsidR="00A24408" w:rsidRPr="0090446F">
        <w:t>n</w:t>
      </w:r>
      <w:r w:rsidRPr="0090446F">
        <w:t xml:space="preserve">ě indikována. Pokud existují jiné než odborné důvody pro omezení protonové léčby, měli by se je pacienti otevřeně dozvědět. K tomuto omezení však nelze účelově použít argumentaci odborně nesprávnou a odporující jiným principům a </w:t>
      </w:r>
      <w:r w:rsidR="00AB50F5">
        <w:t xml:space="preserve">platné </w:t>
      </w:r>
      <w:r w:rsidRPr="0090446F">
        <w:t>legislativě.</w:t>
      </w:r>
      <w:r>
        <w:t xml:space="preserve"> </w:t>
      </w:r>
    </w:p>
    <w:p w:rsidR="00A24408" w:rsidRPr="0090446F" w:rsidRDefault="00A24408" w:rsidP="000874FE">
      <w:pPr>
        <w:ind w:firstLine="708"/>
        <w:jc w:val="both"/>
        <w:rPr>
          <w:b/>
          <w:u w:val="single"/>
        </w:rPr>
      </w:pPr>
      <w:r>
        <w:t xml:space="preserve">Zde je na místě uvést, že protonová léčba je v současné době </w:t>
      </w:r>
      <w:r w:rsidR="0090446F">
        <w:t xml:space="preserve">již </w:t>
      </w:r>
      <w:r>
        <w:t>používaná v</w:t>
      </w:r>
      <w:r w:rsidR="004A773F">
        <w:t xml:space="preserve"> mnoha </w:t>
      </w:r>
      <w:r w:rsidR="00D91CEC">
        <w:t xml:space="preserve">zemích na celém světě – více například v prezentaci: </w:t>
      </w:r>
      <w:hyperlink r:id="rId7" w:tooltip="Opens internal link in current window" w:history="1">
        <w:proofErr w:type="spellStart"/>
        <w:r w:rsidR="00D91CEC">
          <w:rPr>
            <w:rStyle w:val="Hypertextovodkaz"/>
          </w:rPr>
          <w:t>Trending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Issues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with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Radiation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Protection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for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External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Beam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Radiation</w:t>
        </w:r>
        <w:proofErr w:type="spellEnd"/>
        <w:r w:rsidR="00D91CEC">
          <w:rPr>
            <w:rStyle w:val="Hypertextovodkaz"/>
          </w:rPr>
          <w:t xml:space="preserve"> </w:t>
        </w:r>
        <w:proofErr w:type="spellStart"/>
        <w:r w:rsidR="00D91CEC">
          <w:rPr>
            <w:rStyle w:val="Hypertextovodkaz"/>
          </w:rPr>
          <w:t>Oncology</w:t>
        </w:r>
        <w:proofErr w:type="spellEnd"/>
      </w:hyperlink>
      <w:r w:rsidR="00D91CEC">
        <w:t xml:space="preserve"> (PDF, 4,68 MB).</w:t>
      </w:r>
    </w:p>
    <w:p w:rsidR="00A24408" w:rsidRDefault="003A4163" w:rsidP="000874FE">
      <w:pPr>
        <w:ind w:firstLine="708"/>
        <w:jc w:val="both"/>
      </w:pPr>
      <w:r>
        <w:t>Mezi č</w:t>
      </w:r>
      <w:r w:rsidR="00A24408">
        <w:t xml:space="preserve">asto uváděné argumenty proti protonové léčbě patří to, že ještě není </w:t>
      </w:r>
      <w:r>
        <w:t>dostatečně</w:t>
      </w:r>
      <w:r w:rsidR="00A24408">
        <w:t xml:space="preserve"> ověřena a </w:t>
      </w:r>
      <w:r>
        <w:t>nejedná</w:t>
      </w:r>
      <w:r w:rsidR="00A24408">
        <w:t xml:space="preserve"> se o tzv. „evidence </w:t>
      </w:r>
      <w:proofErr w:type="spellStart"/>
      <w:r w:rsidR="00A24408">
        <w:t>based</w:t>
      </w:r>
      <w:proofErr w:type="spellEnd"/>
      <w:r w:rsidR="00A24408">
        <w:t xml:space="preserve"> </w:t>
      </w:r>
      <w:proofErr w:type="spellStart"/>
      <w:r w:rsidR="00A24408">
        <w:t>med</w:t>
      </w:r>
      <w:r>
        <w:t>i</w:t>
      </w:r>
      <w:r w:rsidR="00A24408">
        <w:t>cine</w:t>
      </w:r>
      <w:proofErr w:type="spellEnd"/>
      <w:r w:rsidR="00A24408">
        <w:t>“ tedy nejsou k </w:t>
      </w:r>
      <w:r>
        <w:t>dispozici</w:t>
      </w:r>
      <w:r w:rsidR="00A24408">
        <w:t xml:space="preserve"> </w:t>
      </w:r>
      <w:r>
        <w:t>dostatečně</w:t>
      </w:r>
      <w:r w:rsidR="00A24408">
        <w:t xml:space="preserve"> průkazné studie </w:t>
      </w:r>
      <w:r>
        <w:t>prokazující</w:t>
      </w:r>
      <w:r w:rsidR="00A24408">
        <w:t xml:space="preserve"> účinnost této léčby – což je dáno zejména tím, že metoda není ještě používána </w:t>
      </w:r>
      <w:r w:rsidR="0090446F">
        <w:t>dostatečně</w:t>
      </w:r>
      <w:r w:rsidR="00A24408">
        <w:t xml:space="preserve"> dlouho</w:t>
      </w:r>
      <w:r>
        <w:t>,</w:t>
      </w:r>
      <w:r w:rsidR="00A24408">
        <w:t xml:space="preserve"> aby tyto důkazy byly k </w:t>
      </w:r>
      <w:r>
        <w:t>dispozici</w:t>
      </w:r>
      <w:r w:rsidR="00A24408">
        <w:t>. Je nanejvýš spravedlivé však uvést, že ani nové metody fotonové terapie</w:t>
      </w:r>
      <w:r w:rsidR="0090446F">
        <w:t xml:space="preserve"> (IMRT,VMAT, </w:t>
      </w:r>
      <w:proofErr w:type="spellStart"/>
      <w:r w:rsidR="0090446F">
        <w:t>CyberKnife</w:t>
      </w:r>
      <w:proofErr w:type="spellEnd"/>
      <w:r w:rsidR="0090446F">
        <w:t xml:space="preserve">, </w:t>
      </w:r>
      <w:proofErr w:type="spellStart"/>
      <w:r w:rsidR="0090446F">
        <w:t>atd</w:t>
      </w:r>
      <w:proofErr w:type="spellEnd"/>
      <w:r w:rsidR="0090446F">
        <w:t>…)</w:t>
      </w:r>
      <w:r w:rsidR="00A24408">
        <w:t xml:space="preserve"> </w:t>
      </w:r>
      <w:r>
        <w:t>nejsou</w:t>
      </w:r>
      <w:r w:rsidR="00A24408">
        <w:t xml:space="preserve"> takto potvrzeny</w:t>
      </w:r>
      <w:r>
        <w:t>,</w:t>
      </w:r>
      <w:r w:rsidR="00A24408">
        <w:t xml:space="preserve"> neboť jsou také používán</w:t>
      </w:r>
      <w:r>
        <w:t>y</w:t>
      </w:r>
      <w:r w:rsidR="00A24408">
        <w:t xml:space="preserve"> </w:t>
      </w:r>
      <w:r>
        <w:t>relativně</w:t>
      </w:r>
      <w:r w:rsidR="00A24408">
        <w:t xml:space="preserve"> krátkou dobu. </w:t>
      </w:r>
      <w:bookmarkStart w:id="0" w:name="_GoBack"/>
      <w:bookmarkEnd w:id="0"/>
    </w:p>
    <w:p w:rsidR="00A24408" w:rsidRDefault="00A24408" w:rsidP="000874FE">
      <w:pPr>
        <w:ind w:firstLine="708"/>
        <w:jc w:val="both"/>
      </w:pPr>
      <w:r>
        <w:t xml:space="preserve">Nicméně dá se v podstatě konstatovat, že </w:t>
      </w:r>
      <w:r w:rsidR="003A4163">
        <w:t xml:space="preserve">většinou se </w:t>
      </w:r>
      <w:r>
        <w:t xml:space="preserve">odborníci shodují, že </w:t>
      </w:r>
      <w:r w:rsidR="003A4163">
        <w:t>protonová</w:t>
      </w:r>
      <w:r>
        <w:t xml:space="preserve"> léčba by měla být </w:t>
      </w:r>
      <w:r w:rsidR="0090446F">
        <w:t xml:space="preserve">určitě </w:t>
      </w:r>
      <w:r>
        <w:t xml:space="preserve">zvažována v případě léčby </w:t>
      </w:r>
      <w:r w:rsidR="003A4163">
        <w:t>dětských onkologických pacientů</w:t>
      </w:r>
      <w:r>
        <w:t xml:space="preserve">. </w:t>
      </w:r>
    </w:p>
    <w:p w:rsidR="004A773F" w:rsidRDefault="003A4163" w:rsidP="003A4163">
      <w:pPr>
        <w:ind w:firstLine="708"/>
        <w:jc w:val="both"/>
      </w:pPr>
      <w:r w:rsidRPr="003A4163">
        <w:t>V</w:t>
      </w:r>
      <w:r>
        <w:t xml:space="preserve"> odborných mezinárodních kruzích </w:t>
      </w:r>
      <w:r w:rsidRPr="003A4163">
        <w:t>je této problematice věnována čím dál větší pozornost</w:t>
      </w:r>
      <w:r>
        <w:t>.</w:t>
      </w:r>
      <w:r w:rsidRPr="003A4163">
        <w:t xml:space="preserve"> </w:t>
      </w:r>
      <w:r>
        <w:t xml:space="preserve">Pod záštitou </w:t>
      </w:r>
      <w:r w:rsidRPr="00AB50F5">
        <w:rPr>
          <w:b/>
        </w:rPr>
        <w:t>Evropské komise</w:t>
      </w:r>
      <w:r>
        <w:t xml:space="preserve"> vznikla pracovní skupina, která má v letošním roce předložit analýzu mapující současný stav zavádění protonové terapie v Evropě, její odůvodn</w:t>
      </w:r>
      <w:r w:rsidR="004A773F">
        <w:t>ěnost, kapacity současné a</w:t>
      </w:r>
      <w:r w:rsidR="00CA06CC">
        <w:t> </w:t>
      </w:r>
      <w:r w:rsidR="004A773F">
        <w:t xml:space="preserve">potřebné do budoucna. Iniciativa vznikla zejména na podnět Evropské investiční banky, která je stále více žádána o podporu výstavby nových protonových center. Je jistě na místě tento rozvoj v rámci Evropy koordinovat a usměrňovat – </w:t>
      </w:r>
      <w:r w:rsidR="0090446F">
        <w:t xml:space="preserve">dá se však očekávat, že se protonová léčba bude v Evropě dále rozvíjet. </w:t>
      </w:r>
    </w:p>
    <w:p w:rsidR="00A24408" w:rsidRPr="004A773F" w:rsidRDefault="004A773F" w:rsidP="003A4163">
      <w:pPr>
        <w:ind w:firstLine="708"/>
        <w:jc w:val="both"/>
      </w:pPr>
      <w:r w:rsidRPr="00AB50F5">
        <w:rPr>
          <w:b/>
        </w:rPr>
        <w:t>Mezinárodní atomová agentura</w:t>
      </w:r>
      <w:r w:rsidRPr="00E05D13">
        <w:t xml:space="preserve"> </w:t>
      </w:r>
      <w:r w:rsidR="0090446F" w:rsidRPr="00E05D13">
        <w:t xml:space="preserve">se problematice radiační ochrany v radioterapii </w:t>
      </w:r>
      <w:r w:rsidRPr="00E05D13">
        <w:t>také</w:t>
      </w:r>
      <w:r w:rsidR="0090446F">
        <w:t xml:space="preserve"> intenz</w:t>
      </w:r>
      <w:r w:rsidR="00CA06CC">
        <w:t>i</w:t>
      </w:r>
      <w:r w:rsidR="0090446F">
        <w:t xml:space="preserve">vně věnuje. Zejména pak optimalizace v radioterapii a správné plánování </w:t>
      </w:r>
      <w:r w:rsidR="00E05D13">
        <w:t xml:space="preserve">radioterapeutické </w:t>
      </w:r>
      <w:r w:rsidR="00E05D13">
        <w:lastRenderedPageBreak/>
        <w:t>léčby</w:t>
      </w:r>
      <w:r w:rsidR="0090446F">
        <w:t xml:space="preserve"> je </w:t>
      </w:r>
      <w:r w:rsidR="00E05D13">
        <w:t xml:space="preserve">jednoznačně prioritou. Je pořádáno nespočet tréninkových kurzů, seminářů a dalších akcí, které s touto problematikou souvisí. Lze je nalézt na </w:t>
      </w:r>
      <w:hyperlink r:id="rId8" w:history="1">
        <w:r w:rsidR="00E05D13" w:rsidRPr="00CA06CC">
          <w:rPr>
            <w:rStyle w:val="Hypertextovodkaz"/>
          </w:rPr>
          <w:t>strán</w:t>
        </w:r>
        <w:r w:rsidR="00E05D13" w:rsidRPr="00CA06CC">
          <w:rPr>
            <w:rStyle w:val="Hypertextovodkaz"/>
          </w:rPr>
          <w:t>k</w:t>
        </w:r>
        <w:r w:rsidR="00E05D13" w:rsidRPr="00CA06CC">
          <w:rPr>
            <w:rStyle w:val="Hypertextovodkaz"/>
          </w:rPr>
          <w:t>á</w:t>
        </w:r>
        <w:r w:rsidR="00E05D13" w:rsidRPr="00CA06CC">
          <w:rPr>
            <w:rStyle w:val="Hypertextovodkaz"/>
          </w:rPr>
          <w:t>c</w:t>
        </w:r>
        <w:r w:rsidR="00E05D13" w:rsidRPr="00CA06CC">
          <w:rPr>
            <w:rStyle w:val="Hypertextovodkaz"/>
          </w:rPr>
          <w:t>h SUJB</w:t>
        </w:r>
      </w:hyperlink>
      <w:r w:rsidR="00E05D13">
        <w:t xml:space="preserve">. Jedním z problémů, který </w:t>
      </w:r>
      <w:proofErr w:type="gramStart"/>
      <w:r w:rsidR="00E05D13">
        <w:t>je</w:t>
      </w:r>
      <w:proofErr w:type="gramEnd"/>
      <w:r w:rsidR="00E05D13">
        <w:t xml:space="preserve"> nyní také často diskutován jsou s</w:t>
      </w:r>
      <w:r>
        <w:t>ekundární nádory</w:t>
      </w:r>
      <w:r w:rsidR="00E05D13">
        <w:t xml:space="preserve">, které po léčbě zřením mohou vznikat. Čím déle pacient po terapeutickém ozáření žije, tím se zvyšuje pravděpodobnost rozvoje sekundárního nádoru souvisejícího s touto léčbou. Stává se tedy opravdu prioritou </w:t>
      </w:r>
      <w:r w:rsidR="00AB50F5">
        <w:t xml:space="preserve">při léčbě ionizujícím zářením </w:t>
      </w:r>
      <w:r w:rsidR="00E05D13">
        <w:t xml:space="preserve">omezení ozáření zdravých orgánů a tkání při této léčbě.  </w:t>
      </w:r>
      <w:r>
        <w:t xml:space="preserve"> </w:t>
      </w:r>
      <w:r w:rsidR="003A4163" w:rsidRPr="004A773F">
        <w:t xml:space="preserve"> </w:t>
      </w:r>
    </w:p>
    <w:p w:rsidR="001C1560" w:rsidRDefault="00E81F3C" w:rsidP="000874FE">
      <w:pPr>
        <w:ind w:firstLine="708"/>
        <w:jc w:val="both"/>
      </w:pPr>
      <w:r>
        <w:t xml:space="preserve">Jsme si </w:t>
      </w:r>
      <w:r w:rsidR="00957C58">
        <w:t>vědom</w:t>
      </w:r>
      <w:r>
        <w:t>i</w:t>
      </w:r>
      <w:r w:rsidR="00957C58">
        <w:t xml:space="preserve"> </w:t>
      </w:r>
      <w:r w:rsidR="000874FE">
        <w:t xml:space="preserve">složitosti </w:t>
      </w:r>
      <w:r w:rsidR="001C1560">
        <w:t xml:space="preserve">a komplexity </w:t>
      </w:r>
      <w:r w:rsidR="000874FE">
        <w:t xml:space="preserve">celého problému a </w:t>
      </w:r>
      <w:r w:rsidR="00957C58">
        <w:t xml:space="preserve">také své </w:t>
      </w:r>
      <w:r w:rsidR="00E05D13">
        <w:t>vymezené</w:t>
      </w:r>
      <w:r w:rsidR="00957C58">
        <w:t xml:space="preserve"> role v celém rozhodovacím procesu o volbě optimální </w:t>
      </w:r>
      <w:r w:rsidR="001C1560">
        <w:t xml:space="preserve">terapeutické </w:t>
      </w:r>
      <w:r w:rsidR="00957C58">
        <w:t xml:space="preserve">léčby pro konkrétního pacienta. </w:t>
      </w:r>
    </w:p>
    <w:p w:rsidR="001C1560" w:rsidRDefault="00E05D13" w:rsidP="001C1560">
      <w:pPr>
        <w:ind w:firstLine="708"/>
        <w:jc w:val="both"/>
      </w:pPr>
      <w:r>
        <w:t>V</w:t>
      </w:r>
      <w:r w:rsidR="00957C58">
        <w:t xml:space="preserve"> žádném případě </w:t>
      </w:r>
      <w:r w:rsidR="000874FE">
        <w:t>nepreferuje</w:t>
      </w:r>
      <w:r>
        <w:t>me</w:t>
      </w:r>
      <w:r w:rsidR="000874FE">
        <w:t xml:space="preserve"> ani nezvýhodňuje</w:t>
      </w:r>
      <w:r>
        <w:t>me</w:t>
      </w:r>
      <w:r w:rsidR="000874FE">
        <w:t xml:space="preserve"> žádnou z  modalit používaných v současné době k radioter</w:t>
      </w:r>
      <w:r w:rsidR="00957C58">
        <w:t xml:space="preserve">apeutické léčbě. </w:t>
      </w:r>
      <w:r w:rsidR="00E81F3C">
        <w:t>Z</w:t>
      </w:r>
      <w:r w:rsidR="00957C58">
        <w:t>ůstává</w:t>
      </w:r>
      <w:r>
        <w:t>me</w:t>
      </w:r>
      <w:r w:rsidR="001C1560">
        <w:t xml:space="preserve"> jako vždy nestranným orgánem a n</w:t>
      </w:r>
      <w:r w:rsidR="000874FE">
        <w:t>aším úkolem je dbát na správnou implementaci principů radiační ochrany do praxe bez ohledu na partikulární zájmy jakéhokoliv charakteru a musí</w:t>
      </w:r>
      <w:r>
        <w:t>me</w:t>
      </w:r>
      <w:r w:rsidR="000874FE">
        <w:t xml:space="preserve"> mimo jiné i dbát na správnou transpozici příslušné evropské legislativy, která jasně stanoví pravidla a požadavky i na aplikování principu optimalizace v medicíně a radioterapii zvlášť. </w:t>
      </w:r>
    </w:p>
    <w:p w:rsidR="000874FE" w:rsidRDefault="00E05D13" w:rsidP="001C1560">
      <w:pPr>
        <w:ind w:firstLine="708"/>
        <w:jc w:val="both"/>
      </w:pPr>
      <w:r>
        <w:t>B</w:t>
      </w:r>
      <w:r w:rsidR="001C1560">
        <w:t>ude</w:t>
      </w:r>
      <w:r>
        <w:t>me</w:t>
      </w:r>
      <w:r w:rsidR="001C1560">
        <w:t xml:space="preserve"> i v roce 2019 věnovat této problematice zvýšenou pozornost a</w:t>
      </w:r>
      <w:r w:rsidR="00334ECA">
        <w:t xml:space="preserve"> v mezích své kompetence </w:t>
      </w:r>
      <w:r w:rsidR="001C1560">
        <w:t xml:space="preserve">iniciovat další diskuse se všemi zúčastněnými stranami tak, aby finálně bylo nalezeno </w:t>
      </w:r>
      <w:r w:rsidR="000874FE">
        <w:t xml:space="preserve">řešení, které nebude v rozporu s platnou českou i evropskou legislativou. </w:t>
      </w:r>
      <w:r>
        <w:t>Nadále budeme také sledovat vývoj v této oblasti na mezinárodní úrovni. V této rubrice budou nadále prezentovány všechny aktuální a relevantní dokumenty nebo odkazy na m</w:t>
      </w:r>
      <w:r w:rsidR="00A519F3">
        <w:t xml:space="preserve">ezinárodní nebo i národní akce včetně případných vystoupení zástupců SÚJB k tématu. </w:t>
      </w:r>
      <w:r>
        <w:t xml:space="preserve"> </w:t>
      </w:r>
    </w:p>
    <w:p w:rsidR="00E05D13" w:rsidRPr="00CA06CC" w:rsidRDefault="00E05D13" w:rsidP="001C1560">
      <w:pPr>
        <w:ind w:firstLine="708"/>
        <w:jc w:val="both"/>
        <w:rPr>
          <w:b/>
          <w:u w:val="single"/>
        </w:rPr>
      </w:pPr>
      <w:r w:rsidRPr="00CA06CC">
        <w:t xml:space="preserve">Další informace k tématu </w:t>
      </w:r>
      <w:proofErr w:type="gramStart"/>
      <w:r w:rsidRPr="00CA06CC">
        <w:t>nal</w:t>
      </w:r>
      <w:r w:rsidR="00CA06CC">
        <w:t>eznete</w:t>
      </w:r>
      <w:proofErr w:type="gramEnd"/>
      <w:r w:rsidR="00CA06CC">
        <w:t xml:space="preserve"> na stránkách SÚJB v sekci </w:t>
      </w:r>
      <w:hyperlink r:id="rId9" w:history="1">
        <w:r w:rsidR="00CA06CC" w:rsidRPr="00CA06CC">
          <w:rPr>
            <w:rStyle w:val="Hypertextovodkaz"/>
          </w:rPr>
          <w:t>Protonov</w:t>
        </w:r>
        <w:r w:rsidR="00CA06CC" w:rsidRPr="00CA06CC">
          <w:rPr>
            <w:rStyle w:val="Hypertextovodkaz"/>
          </w:rPr>
          <w:t>á</w:t>
        </w:r>
        <w:r w:rsidR="00CA06CC" w:rsidRPr="00CA06CC">
          <w:rPr>
            <w:rStyle w:val="Hypertextovodkaz"/>
          </w:rPr>
          <w:t xml:space="preserve"> </w:t>
        </w:r>
        <w:proofErr w:type="gramStart"/>
        <w:r w:rsidR="00CA06CC" w:rsidRPr="00CA06CC">
          <w:rPr>
            <w:rStyle w:val="Hypertextovodkaz"/>
          </w:rPr>
          <w:t>terapie</w:t>
        </w:r>
        <w:proofErr w:type="gramEnd"/>
      </w:hyperlink>
      <w:r w:rsidR="00CA06CC">
        <w:t>.</w:t>
      </w:r>
    </w:p>
    <w:sectPr w:rsidR="00E05D13" w:rsidRPr="00CA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5044"/>
    <w:multiLevelType w:val="hybridMultilevel"/>
    <w:tmpl w:val="7D2A1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5FB6"/>
    <w:multiLevelType w:val="hybridMultilevel"/>
    <w:tmpl w:val="1EE00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9"/>
    <w:rsid w:val="0002492C"/>
    <w:rsid w:val="000874FE"/>
    <w:rsid w:val="000D3F8D"/>
    <w:rsid w:val="00135494"/>
    <w:rsid w:val="00170A21"/>
    <w:rsid w:val="001C1560"/>
    <w:rsid w:val="00221FAC"/>
    <w:rsid w:val="002C7C37"/>
    <w:rsid w:val="002E6A64"/>
    <w:rsid w:val="002F1B99"/>
    <w:rsid w:val="00334ECA"/>
    <w:rsid w:val="003A4163"/>
    <w:rsid w:val="0041767B"/>
    <w:rsid w:val="00425F93"/>
    <w:rsid w:val="004A773F"/>
    <w:rsid w:val="004E03D7"/>
    <w:rsid w:val="004F6B1F"/>
    <w:rsid w:val="004F7D5B"/>
    <w:rsid w:val="0050642D"/>
    <w:rsid w:val="00524226"/>
    <w:rsid w:val="005321D9"/>
    <w:rsid w:val="0058070C"/>
    <w:rsid w:val="005C3AB4"/>
    <w:rsid w:val="005C75E5"/>
    <w:rsid w:val="006231F1"/>
    <w:rsid w:val="00731692"/>
    <w:rsid w:val="00736F2D"/>
    <w:rsid w:val="007C770E"/>
    <w:rsid w:val="0080622B"/>
    <w:rsid w:val="008070C8"/>
    <w:rsid w:val="008733B8"/>
    <w:rsid w:val="00897609"/>
    <w:rsid w:val="008C0FEC"/>
    <w:rsid w:val="008F7233"/>
    <w:rsid w:val="0090446F"/>
    <w:rsid w:val="00943F17"/>
    <w:rsid w:val="00957C58"/>
    <w:rsid w:val="00A24408"/>
    <w:rsid w:val="00A519F3"/>
    <w:rsid w:val="00A75923"/>
    <w:rsid w:val="00AB50F5"/>
    <w:rsid w:val="00B11960"/>
    <w:rsid w:val="00B30DFD"/>
    <w:rsid w:val="00B655DA"/>
    <w:rsid w:val="00BA62FB"/>
    <w:rsid w:val="00CA06CC"/>
    <w:rsid w:val="00CE3B19"/>
    <w:rsid w:val="00D04FAA"/>
    <w:rsid w:val="00D30B9D"/>
    <w:rsid w:val="00D326C0"/>
    <w:rsid w:val="00D91CEC"/>
    <w:rsid w:val="00DC1008"/>
    <w:rsid w:val="00DC3D2C"/>
    <w:rsid w:val="00E05D13"/>
    <w:rsid w:val="00E1201F"/>
    <w:rsid w:val="00E81F3C"/>
    <w:rsid w:val="00ED3CCF"/>
    <w:rsid w:val="00F72AE6"/>
    <w:rsid w:val="00F9766F"/>
    <w:rsid w:val="00FA368F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nhideWhenUsed/>
    <w:qFormat/>
    <w:rsid w:val="002F1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1D9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3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3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3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3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C2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2F1B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xmsonormal">
    <w:name w:val="x_msonormal"/>
    <w:basedOn w:val="Normln"/>
    <w:rsid w:val="005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extensionhighlight">
    <w:name w:val="contextualextensionhighlight"/>
    <w:basedOn w:val="Standardnpsmoodstavce"/>
    <w:rsid w:val="0050642D"/>
  </w:style>
  <w:style w:type="character" w:styleId="Hypertextovodkaz">
    <w:name w:val="Hyperlink"/>
    <w:basedOn w:val="Standardnpsmoodstavce"/>
    <w:uiPriority w:val="99"/>
    <w:unhideWhenUsed/>
    <w:rsid w:val="005064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0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nhideWhenUsed/>
    <w:qFormat/>
    <w:rsid w:val="002F1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1D9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3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3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3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3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C2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2F1B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xmsonormal">
    <w:name w:val="x_msonormal"/>
    <w:basedOn w:val="Normln"/>
    <w:rsid w:val="005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extensionhighlight">
    <w:name w:val="contextualextensionhighlight"/>
    <w:basedOn w:val="Standardnpsmoodstavce"/>
    <w:rsid w:val="0050642D"/>
  </w:style>
  <w:style w:type="character" w:styleId="Hypertextovodkaz">
    <w:name w:val="Hyperlink"/>
    <w:basedOn w:val="Standardnpsmoodstavce"/>
    <w:uiPriority w:val="99"/>
    <w:unhideWhenUsed/>
    <w:rsid w:val="005064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0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jb.cz/radiacni-ochrana/zahranicni-ak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jb.cz/fileadmin/sujb/docs/radiacni-ochrana/Zahranicni_akce/ICRP/12_trending-issues-with-radiation-protection-for-external-beam-radiation-oncology_thomas-r.-mack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journal.org/article/S0360-3016(09)03288-X/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jb.cz/radiacni-ochrana/lekarske-ozareni/protonova-terapi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1869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Petrová</dc:creator>
  <cp:lastModifiedBy>Ondřej Chochola</cp:lastModifiedBy>
  <cp:revision>7</cp:revision>
  <dcterms:created xsi:type="dcterms:W3CDTF">2019-02-06T08:37:00Z</dcterms:created>
  <dcterms:modified xsi:type="dcterms:W3CDTF">2019-02-12T11:57:00Z</dcterms:modified>
</cp:coreProperties>
</file>