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83615" w14:textId="77777777" w:rsidR="004035F7" w:rsidRDefault="005E7023" w:rsidP="003E09E9">
      <w:pPr>
        <w:ind w:firstLine="708"/>
        <w:rPr>
          <w:b/>
          <w:bCs/>
          <w:sz w:val="28"/>
          <w:szCs w:val="28"/>
        </w:rPr>
      </w:pPr>
      <w:r w:rsidRPr="005E7023">
        <w:rPr>
          <w:b/>
          <w:bCs/>
          <w:sz w:val="28"/>
          <w:szCs w:val="28"/>
        </w:rPr>
        <w:t xml:space="preserve">Stanovisko SÚJB: </w:t>
      </w:r>
      <w:r w:rsidRPr="003E09E9">
        <w:rPr>
          <w:b/>
          <w:bCs/>
          <w:sz w:val="28"/>
          <w:szCs w:val="28"/>
        </w:rPr>
        <w:t>LDCT vyšetření plic u asymptomatických</w:t>
      </w:r>
    </w:p>
    <w:p w14:paraId="7F3F9C7E" w14:textId="77777777" w:rsidR="005E7023" w:rsidRDefault="008E4479" w:rsidP="008E447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="005E7023" w:rsidRPr="003E09E9">
        <w:rPr>
          <w:b/>
          <w:bCs/>
          <w:sz w:val="28"/>
          <w:szCs w:val="28"/>
        </w:rPr>
        <w:t xml:space="preserve"> </w:t>
      </w:r>
      <w:r w:rsidR="004035F7">
        <w:rPr>
          <w:b/>
          <w:bCs/>
          <w:sz w:val="28"/>
          <w:szCs w:val="28"/>
        </w:rPr>
        <w:t>(bezpříznakových)</w:t>
      </w:r>
      <w:r>
        <w:rPr>
          <w:b/>
          <w:bCs/>
          <w:sz w:val="28"/>
          <w:szCs w:val="28"/>
        </w:rPr>
        <w:t xml:space="preserve"> </w:t>
      </w:r>
      <w:r w:rsidR="005E7023" w:rsidRPr="003E09E9">
        <w:rPr>
          <w:b/>
          <w:bCs/>
          <w:sz w:val="28"/>
          <w:szCs w:val="28"/>
        </w:rPr>
        <w:t>osob</w:t>
      </w:r>
    </w:p>
    <w:p w14:paraId="466377F2" w14:textId="77777777" w:rsidR="003E09E9" w:rsidRPr="005E7023" w:rsidRDefault="003E09E9" w:rsidP="003E09E9">
      <w:pPr>
        <w:ind w:firstLine="708"/>
        <w:rPr>
          <w:b/>
          <w:bCs/>
          <w:sz w:val="28"/>
          <w:szCs w:val="28"/>
        </w:rPr>
      </w:pPr>
    </w:p>
    <w:p w14:paraId="70FD6796" w14:textId="59563E0D" w:rsidR="005E7023" w:rsidRPr="005E7023" w:rsidRDefault="005E7023" w:rsidP="005E7023">
      <w:pPr>
        <w:jc w:val="both"/>
        <w:rPr>
          <w:sz w:val="24"/>
          <w:szCs w:val="24"/>
        </w:rPr>
      </w:pPr>
      <w:r w:rsidRPr="005E7023">
        <w:rPr>
          <w:sz w:val="24"/>
          <w:szCs w:val="24"/>
        </w:rPr>
        <w:t xml:space="preserve">Toto stanovisko Státního úřadu pro jadernou bezpečnost (SÚJB) poskytuje </w:t>
      </w:r>
      <w:r w:rsidR="00996C06">
        <w:rPr>
          <w:sz w:val="24"/>
          <w:szCs w:val="24"/>
        </w:rPr>
        <w:t xml:space="preserve">podklad pro </w:t>
      </w:r>
      <w:r w:rsidRPr="005E7023">
        <w:rPr>
          <w:sz w:val="24"/>
          <w:szCs w:val="24"/>
        </w:rPr>
        <w:t>odůvod</w:t>
      </w:r>
      <w:r w:rsidR="00996C06">
        <w:rPr>
          <w:sz w:val="24"/>
          <w:szCs w:val="24"/>
        </w:rPr>
        <w:t>ňování</w:t>
      </w:r>
      <w:r w:rsidRPr="005E7023">
        <w:rPr>
          <w:sz w:val="24"/>
          <w:szCs w:val="24"/>
        </w:rPr>
        <w:t xml:space="preserve"> nízko-dávkového CT (LDCT) vyšetření plic u asymptomatických osob</w:t>
      </w:r>
      <w:r w:rsidR="00996C06">
        <w:rPr>
          <w:sz w:val="24"/>
          <w:szCs w:val="24"/>
        </w:rPr>
        <w:t>.</w:t>
      </w:r>
      <w:r w:rsidRPr="005E7023">
        <w:rPr>
          <w:sz w:val="24"/>
          <w:szCs w:val="24"/>
        </w:rPr>
        <w:t xml:space="preserve"> Dokument je v plném souladu s platnou legislativou Evropské unie i České republiky a reflektuje moderní holistický přístup ke zdraví</w:t>
      </w:r>
      <w:r w:rsidR="00C71D7A">
        <w:rPr>
          <w:sz w:val="24"/>
          <w:szCs w:val="24"/>
        </w:rPr>
        <w:t xml:space="preserve"> a zohledňuje také </w:t>
      </w:r>
      <w:r w:rsidRPr="005E7023">
        <w:rPr>
          <w:sz w:val="24"/>
          <w:szCs w:val="24"/>
        </w:rPr>
        <w:t>definic</w:t>
      </w:r>
      <w:r w:rsidR="00C71D7A">
        <w:rPr>
          <w:sz w:val="24"/>
          <w:szCs w:val="24"/>
        </w:rPr>
        <w:t>i</w:t>
      </w:r>
      <w:r w:rsidRPr="005E7023">
        <w:rPr>
          <w:sz w:val="24"/>
          <w:szCs w:val="24"/>
        </w:rPr>
        <w:t xml:space="preserve"> Světové zdravotnické organizace (WHO)</w:t>
      </w:r>
      <w:r w:rsidR="00C71D7A">
        <w:rPr>
          <w:sz w:val="24"/>
          <w:szCs w:val="24"/>
        </w:rPr>
        <w:t>, podle které</w:t>
      </w:r>
      <w:r w:rsidRPr="005E7023">
        <w:rPr>
          <w:sz w:val="24"/>
          <w:szCs w:val="24"/>
        </w:rPr>
        <w:t xml:space="preserve"> není zdraví pouhou absencí nemoci, nýbrž stavem fyzické,</w:t>
      </w:r>
      <w:r w:rsidRPr="00146B19">
        <w:rPr>
          <w:sz w:val="24"/>
          <w:szCs w:val="24"/>
        </w:rPr>
        <w:t xml:space="preserve"> </w:t>
      </w:r>
      <w:r w:rsidRPr="00146B19">
        <w:rPr>
          <w:bCs/>
          <w:sz w:val="24"/>
          <w:szCs w:val="24"/>
        </w:rPr>
        <w:t xml:space="preserve">psychické </w:t>
      </w:r>
      <w:r w:rsidRPr="005E7023">
        <w:rPr>
          <w:sz w:val="24"/>
          <w:szCs w:val="24"/>
        </w:rPr>
        <w:t xml:space="preserve">a sociální pohody. </w:t>
      </w:r>
    </w:p>
    <w:p w14:paraId="447BDC2E" w14:textId="77777777" w:rsidR="005E7023" w:rsidRPr="005E7023" w:rsidRDefault="005E7023" w:rsidP="005E7023"/>
    <w:p w14:paraId="5EBA9FC2" w14:textId="77777777" w:rsidR="005E7023" w:rsidRPr="005E7023" w:rsidRDefault="005B4035" w:rsidP="005E7023">
      <w:pPr>
        <w:rPr>
          <w:b/>
          <w:bCs/>
          <w:sz w:val="26"/>
          <w:szCs w:val="26"/>
        </w:rPr>
      </w:pPr>
      <w:r w:rsidRPr="003E09E9">
        <w:rPr>
          <w:b/>
          <w:bCs/>
          <w:sz w:val="26"/>
          <w:szCs w:val="26"/>
        </w:rPr>
        <w:t>Zdůvodnění LDCT vyšetření</w:t>
      </w:r>
    </w:p>
    <w:p w14:paraId="388FC785" w14:textId="77777777" w:rsidR="00555DB0" w:rsidRDefault="005E7023" w:rsidP="00555DB0">
      <w:pPr>
        <w:jc w:val="both"/>
        <w:rPr>
          <w:sz w:val="24"/>
          <w:szCs w:val="24"/>
        </w:rPr>
      </w:pPr>
      <w:r w:rsidRPr="005E7023">
        <w:rPr>
          <w:sz w:val="24"/>
          <w:szCs w:val="24"/>
        </w:rPr>
        <w:t>Každé lékařské ozáření, včetně LDCT</w:t>
      </w:r>
      <w:r w:rsidRPr="003E09E9">
        <w:rPr>
          <w:sz w:val="24"/>
          <w:szCs w:val="24"/>
        </w:rPr>
        <w:t xml:space="preserve"> plic</w:t>
      </w:r>
      <w:r w:rsidRPr="005E7023">
        <w:rPr>
          <w:sz w:val="24"/>
          <w:szCs w:val="24"/>
        </w:rPr>
        <w:t>, musí splňovat dva klíčové principy radiační ochrany podle Směrnice 2013/59/EURATOM</w:t>
      </w:r>
      <w:r w:rsidR="004035F7">
        <w:rPr>
          <w:sz w:val="24"/>
          <w:szCs w:val="24"/>
        </w:rPr>
        <w:t xml:space="preserve">, čl. 55 odst. 2 </w:t>
      </w:r>
      <w:r w:rsidRPr="005E7023">
        <w:rPr>
          <w:sz w:val="24"/>
          <w:szCs w:val="24"/>
        </w:rPr>
        <w:t>a atomového zákona č. 263/2016 Sb</w:t>
      </w:r>
      <w:r w:rsidR="008E4479">
        <w:rPr>
          <w:sz w:val="24"/>
          <w:szCs w:val="24"/>
        </w:rPr>
        <w:t xml:space="preserve">., Atomový zákon, </w:t>
      </w:r>
      <w:r w:rsidR="008E4479" w:rsidRPr="006A23A7">
        <w:rPr>
          <w:sz w:val="24"/>
          <w:szCs w:val="24"/>
        </w:rPr>
        <w:t>o mírovém využívání jaderné energie a ionizujícího záření</w:t>
      </w:r>
      <w:r w:rsidR="008E4479">
        <w:rPr>
          <w:sz w:val="24"/>
          <w:szCs w:val="24"/>
        </w:rPr>
        <w:t>, ve znění pozdějších předpisů</w:t>
      </w:r>
      <w:r w:rsidRPr="005E7023">
        <w:rPr>
          <w:sz w:val="24"/>
          <w:szCs w:val="24"/>
        </w:rPr>
        <w:t>. Prvním principem je odůvodnění vyšetření, kdy celkový přínos musí vždy převýšit potenciální újmu. Je nezbytné zvážit specifick</w:t>
      </w:r>
      <w:r w:rsidR="00BB3C7A">
        <w:rPr>
          <w:sz w:val="24"/>
          <w:szCs w:val="24"/>
        </w:rPr>
        <w:t>ý stav</w:t>
      </w:r>
      <w:r w:rsidRPr="005E7023">
        <w:rPr>
          <w:sz w:val="24"/>
          <w:szCs w:val="24"/>
        </w:rPr>
        <w:t xml:space="preserve"> a potřeby pacienta, </w:t>
      </w:r>
      <w:r w:rsidR="00555DB0">
        <w:rPr>
          <w:sz w:val="24"/>
          <w:szCs w:val="24"/>
        </w:rPr>
        <w:t>jeho aktuální zdravotní stav, rodinnou anamnézu a zvýšené riziko vzniku rakoviny plic nebo jiného závaž</w:t>
      </w:r>
      <w:r w:rsidR="00D36B7B">
        <w:rPr>
          <w:sz w:val="24"/>
          <w:szCs w:val="24"/>
        </w:rPr>
        <w:t>ného plicního onemocnění, apod.</w:t>
      </w:r>
      <w:r w:rsidR="00555DB0">
        <w:rPr>
          <w:sz w:val="24"/>
          <w:szCs w:val="24"/>
        </w:rPr>
        <w:t xml:space="preserve">, </w:t>
      </w:r>
      <w:r w:rsidRPr="005E7023">
        <w:rPr>
          <w:sz w:val="24"/>
          <w:szCs w:val="24"/>
        </w:rPr>
        <w:t xml:space="preserve">přičemž </w:t>
      </w:r>
      <w:r w:rsidR="00BB3C7A">
        <w:rPr>
          <w:sz w:val="24"/>
          <w:szCs w:val="24"/>
        </w:rPr>
        <w:t xml:space="preserve">i </w:t>
      </w:r>
      <w:r w:rsidRPr="005E7023">
        <w:rPr>
          <w:sz w:val="24"/>
          <w:szCs w:val="24"/>
        </w:rPr>
        <w:t xml:space="preserve">nadměrná obava z onemocnění </w:t>
      </w:r>
      <w:r w:rsidR="00BB3C7A">
        <w:rPr>
          <w:sz w:val="24"/>
          <w:szCs w:val="24"/>
        </w:rPr>
        <w:t>může být</w:t>
      </w:r>
      <w:r w:rsidRPr="005E7023">
        <w:rPr>
          <w:sz w:val="24"/>
          <w:szCs w:val="24"/>
        </w:rPr>
        <w:t xml:space="preserve"> uznána jako legitimní faktor pro odůvodnění</w:t>
      </w:r>
      <w:r w:rsidRPr="003E09E9">
        <w:rPr>
          <w:sz w:val="24"/>
          <w:szCs w:val="24"/>
        </w:rPr>
        <w:t xml:space="preserve"> a následné provedení LDCT vyšetření</w:t>
      </w:r>
      <w:r w:rsidRPr="005E7023">
        <w:rPr>
          <w:sz w:val="24"/>
          <w:szCs w:val="24"/>
        </w:rPr>
        <w:t xml:space="preserve">. </w:t>
      </w:r>
      <w:r w:rsidR="00555DB0" w:rsidRPr="005E7023">
        <w:rPr>
          <w:sz w:val="24"/>
          <w:szCs w:val="24"/>
        </w:rPr>
        <w:t xml:space="preserve">V takovém případě </w:t>
      </w:r>
      <w:r w:rsidR="00555DB0">
        <w:rPr>
          <w:sz w:val="24"/>
          <w:szCs w:val="24"/>
        </w:rPr>
        <w:t>může mít</w:t>
      </w:r>
      <w:r w:rsidR="00555DB0" w:rsidRPr="005E7023">
        <w:rPr>
          <w:sz w:val="24"/>
          <w:szCs w:val="24"/>
        </w:rPr>
        <w:t xml:space="preserve"> vyšetření terapeutický efekt na psychický stav, protože </w:t>
      </w:r>
      <w:r w:rsidR="00555DB0">
        <w:rPr>
          <w:sz w:val="24"/>
          <w:szCs w:val="24"/>
        </w:rPr>
        <w:t xml:space="preserve">může </w:t>
      </w:r>
      <w:r w:rsidR="00555DB0" w:rsidRPr="005E7023">
        <w:rPr>
          <w:sz w:val="24"/>
          <w:szCs w:val="24"/>
        </w:rPr>
        <w:t>umož</w:t>
      </w:r>
      <w:r w:rsidR="00555DB0">
        <w:rPr>
          <w:sz w:val="24"/>
          <w:szCs w:val="24"/>
        </w:rPr>
        <w:t>nit</w:t>
      </w:r>
      <w:r w:rsidR="00555DB0" w:rsidRPr="005E7023">
        <w:rPr>
          <w:sz w:val="24"/>
          <w:szCs w:val="24"/>
        </w:rPr>
        <w:t xml:space="preserve"> detekci časných stádií onemocnění plic,</w:t>
      </w:r>
      <w:r w:rsidR="00555DB0">
        <w:rPr>
          <w:sz w:val="24"/>
          <w:szCs w:val="24"/>
        </w:rPr>
        <w:t xml:space="preserve"> případně poskytuje podklad pro vyloučení onemocnění,</w:t>
      </w:r>
      <w:r w:rsidR="00555DB0" w:rsidRPr="005E7023">
        <w:rPr>
          <w:sz w:val="24"/>
          <w:szCs w:val="24"/>
        </w:rPr>
        <w:t xml:space="preserve"> čímž dochází ke zmírnění úzkosti</w:t>
      </w:r>
      <w:r w:rsidR="00555DB0">
        <w:rPr>
          <w:sz w:val="24"/>
          <w:szCs w:val="24"/>
        </w:rPr>
        <w:t xml:space="preserve"> a obavy</w:t>
      </w:r>
      <w:r w:rsidR="00555DB0" w:rsidRPr="005E7023">
        <w:rPr>
          <w:sz w:val="24"/>
          <w:szCs w:val="24"/>
        </w:rPr>
        <w:t xml:space="preserve">. Přínos vyšetření </w:t>
      </w:r>
      <w:r w:rsidR="00555DB0">
        <w:rPr>
          <w:sz w:val="24"/>
          <w:szCs w:val="24"/>
        </w:rPr>
        <w:t xml:space="preserve">tak </w:t>
      </w:r>
      <w:r w:rsidR="00555DB0" w:rsidRPr="005E7023">
        <w:rPr>
          <w:sz w:val="24"/>
          <w:szCs w:val="24"/>
        </w:rPr>
        <w:t>významně převyšuje minimální radiační riziko. Je však vždy</w:t>
      </w:r>
      <w:r w:rsidR="00555DB0" w:rsidRPr="003E09E9">
        <w:rPr>
          <w:sz w:val="24"/>
          <w:szCs w:val="24"/>
        </w:rPr>
        <w:t xml:space="preserve"> nezbytně</w:t>
      </w:r>
      <w:r w:rsidR="00555DB0" w:rsidRPr="005E7023">
        <w:rPr>
          <w:sz w:val="24"/>
          <w:szCs w:val="24"/>
        </w:rPr>
        <w:t xml:space="preserve"> nutné, aby indikující lékař provedl </w:t>
      </w:r>
      <w:r w:rsidR="00555DB0" w:rsidRPr="000A2731">
        <w:rPr>
          <w:sz w:val="24"/>
          <w:szCs w:val="24"/>
        </w:rPr>
        <w:t>klinické zvážení každého jednotlivého případu</w:t>
      </w:r>
      <w:r w:rsidR="00555DB0" w:rsidRPr="003E09E9">
        <w:rPr>
          <w:sz w:val="24"/>
          <w:szCs w:val="24"/>
        </w:rPr>
        <w:t xml:space="preserve">. Jakmile indikující lékař na základě zvážení přínosů a rizik </w:t>
      </w:r>
      <w:r w:rsidR="00555DB0">
        <w:rPr>
          <w:sz w:val="24"/>
          <w:szCs w:val="24"/>
        </w:rPr>
        <w:t>rozhodne o</w:t>
      </w:r>
      <w:r w:rsidR="00555DB0" w:rsidRPr="003E09E9">
        <w:rPr>
          <w:sz w:val="24"/>
          <w:szCs w:val="24"/>
        </w:rPr>
        <w:t xml:space="preserve"> provedení LDCT vyšetření, je nutné vystavit řádnou žádanku o vyšetření</w:t>
      </w:r>
      <w:r w:rsidR="00555DB0">
        <w:rPr>
          <w:sz w:val="24"/>
          <w:szCs w:val="24"/>
        </w:rPr>
        <w:t>, která je de facto potvrzením odůvodnění daného vyšetření.</w:t>
      </w:r>
    </w:p>
    <w:p w14:paraId="7EE5FE52" w14:textId="77777777" w:rsidR="00555DB0" w:rsidRDefault="00555DB0" w:rsidP="005E7023">
      <w:pPr>
        <w:jc w:val="both"/>
        <w:rPr>
          <w:sz w:val="24"/>
          <w:szCs w:val="24"/>
        </w:rPr>
      </w:pPr>
    </w:p>
    <w:p w14:paraId="585A9B28" w14:textId="77777777" w:rsidR="00555DB0" w:rsidRPr="00555DB0" w:rsidRDefault="00555DB0" w:rsidP="00555DB0">
      <w:pPr>
        <w:rPr>
          <w:b/>
          <w:bCs/>
          <w:sz w:val="26"/>
          <w:szCs w:val="26"/>
        </w:rPr>
      </w:pPr>
      <w:r w:rsidRPr="00555DB0">
        <w:rPr>
          <w:b/>
          <w:bCs/>
          <w:sz w:val="26"/>
          <w:szCs w:val="26"/>
        </w:rPr>
        <w:t>Optimalizace vyšetření</w:t>
      </w:r>
    </w:p>
    <w:p w14:paraId="26FF21AD" w14:textId="77777777" w:rsidR="005E7023" w:rsidRPr="006D3B7F" w:rsidRDefault="005E7023" w:rsidP="005E7023">
      <w:pPr>
        <w:jc w:val="both"/>
        <w:rPr>
          <w:sz w:val="24"/>
          <w:szCs w:val="24"/>
        </w:rPr>
      </w:pPr>
      <w:r w:rsidRPr="005E7023">
        <w:rPr>
          <w:sz w:val="24"/>
          <w:szCs w:val="24"/>
        </w:rPr>
        <w:t>Druhým principem je optimalizace radiační ochrany, což znamená použití co nejnižší možné dávky záření</w:t>
      </w:r>
      <w:r w:rsidR="00BB3C7A">
        <w:rPr>
          <w:sz w:val="24"/>
          <w:szCs w:val="24"/>
        </w:rPr>
        <w:t xml:space="preserve"> při současném zajištění dostatečně kvalitní výstupní informace</w:t>
      </w:r>
      <w:r w:rsidR="0046089D">
        <w:rPr>
          <w:sz w:val="24"/>
          <w:szCs w:val="24"/>
        </w:rPr>
        <w:t xml:space="preserve"> pro vyšetření</w:t>
      </w:r>
      <w:r w:rsidRPr="005E7023">
        <w:rPr>
          <w:sz w:val="24"/>
          <w:szCs w:val="24"/>
        </w:rPr>
        <w:t>. Při</w:t>
      </w:r>
      <w:r w:rsidR="006D3B7F">
        <w:rPr>
          <w:sz w:val="24"/>
          <w:szCs w:val="24"/>
        </w:rPr>
        <w:t xml:space="preserve"> vyšetření</w:t>
      </w:r>
      <w:r w:rsidRPr="005E7023">
        <w:rPr>
          <w:sz w:val="24"/>
          <w:szCs w:val="24"/>
        </w:rPr>
        <w:t xml:space="preserve"> plic</w:t>
      </w:r>
      <w:r w:rsidRPr="003E09E9">
        <w:rPr>
          <w:sz w:val="24"/>
          <w:szCs w:val="24"/>
        </w:rPr>
        <w:t xml:space="preserve"> asymptomatických osob</w:t>
      </w:r>
      <w:r w:rsidRPr="005E7023">
        <w:rPr>
          <w:sz w:val="24"/>
          <w:szCs w:val="24"/>
        </w:rPr>
        <w:t xml:space="preserve"> je proto </w:t>
      </w:r>
      <w:r w:rsidR="0046089D">
        <w:rPr>
          <w:sz w:val="24"/>
          <w:szCs w:val="24"/>
        </w:rPr>
        <w:t>vhodné</w:t>
      </w:r>
      <w:r w:rsidRPr="005E7023">
        <w:rPr>
          <w:sz w:val="24"/>
          <w:szCs w:val="24"/>
        </w:rPr>
        <w:t xml:space="preserve"> používat LDCT protokoly, které dosahují dávky v rozmezí přibližně 1,0−1,5 mSv, a tím minimalizují riziko</w:t>
      </w:r>
      <w:r w:rsidR="006D3B7F">
        <w:rPr>
          <w:sz w:val="24"/>
          <w:szCs w:val="24"/>
        </w:rPr>
        <w:t xml:space="preserve"> ozáření</w:t>
      </w:r>
      <w:r w:rsidRPr="005E7023">
        <w:rPr>
          <w:sz w:val="24"/>
          <w:szCs w:val="24"/>
        </w:rPr>
        <w:t xml:space="preserve"> oproti</w:t>
      </w:r>
      <w:r w:rsidRPr="003E09E9">
        <w:rPr>
          <w:sz w:val="24"/>
          <w:szCs w:val="24"/>
        </w:rPr>
        <w:t xml:space="preserve"> použití</w:t>
      </w:r>
      <w:r w:rsidRPr="005E7023">
        <w:rPr>
          <w:sz w:val="24"/>
          <w:szCs w:val="24"/>
        </w:rPr>
        <w:t xml:space="preserve"> standardní</w:t>
      </w:r>
      <w:r w:rsidRPr="003E09E9">
        <w:rPr>
          <w:sz w:val="24"/>
          <w:szCs w:val="24"/>
        </w:rPr>
        <w:t>ho vyšetřovacího</w:t>
      </w:r>
      <w:r w:rsidRPr="005E7023">
        <w:rPr>
          <w:sz w:val="24"/>
          <w:szCs w:val="24"/>
        </w:rPr>
        <w:t xml:space="preserve"> CT</w:t>
      </w:r>
      <w:r w:rsidRPr="003E09E9">
        <w:rPr>
          <w:sz w:val="24"/>
          <w:szCs w:val="24"/>
        </w:rPr>
        <w:t xml:space="preserve"> protokolu pro snímkování </w:t>
      </w:r>
      <w:r w:rsidRPr="006D3B7F">
        <w:rPr>
          <w:sz w:val="24"/>
          <w:szCs w:val="24"/>
        </w:rPr>
        <w:t>plic</w:t>
      </w:r>
      <w:r w:rsidR="006D3B7F">
        <w:rPr>
          <w:sz w:val="24"/>
          <w:szCs w:val="24"/>
        </w:rPr>
        <w:t xml:space="preserve"> s </w:t>
      </w:r>
      <w:r w:rsidR="006D3B7F" w:rsidRPr="006D3B7F">
        <w:rPr>
          <w:sz w:val="24"/>
          <w:szCs w:val="24"/>
        </w:rPr>
        <w:t xml:space="preserve">přibližnou dávkou 5−10 mSv. </w:t>
      </w:r>
      <w:r w:rsidR="00A45D13">
        <w:rPr>
          <w:sz w:val="24"/>
          <w:szCs w:val="24"/>
        </w:rPr>
        <w:t>LDCT je využíváno i při screeningovém vyšetření plic v rámci programu časného záchytu karcinomu plic.</w:t>
      </w:r>
    </w:p>
    <w:p w14:paraId="24BBC304" w14:textId="77777777" w:rsidR="005E7023" w:rsidRPr="005E7023" w:rsidRDefault="005E7023" w:rsidP="005E7023">
      <w:pPr>
        <w:rPr>
          <w:sz w:val="26"/>
          <w:szCs w:val="26"/>
        </w:rPr>
      </w:pPr>
    </w:p>
    <w:p w14:paraId="523529C6" w14:textId="77777777" w:rsidR="008E4479" w:rsidRPr="005E7023" w:rsidRDefault="008E4479" w:rsidP="005B4035">
      <w:pPr>
        <w:jc w:val="both"/>
        <w:rPr>
          <w:sz w:val="24"/>
          <w:szCs w:val="24"/>
        </w:rPr>
      </w:pPr>
    </w:p>
    <w:p w14:paraId="5C90690B" w14:textId="77777777" w:rsidR="005E7023" w:rsidRPr="005E7023" w:rsidRDefault="005E7023" w:rsidP="005E7023"/>
    <w:p w14:paraId="2B1ABC37" w14:textId="77777777" w:rsidR="005E7023" w:rsidRPr="005E7023" w:rsidRDefault="005E7023" w:rsidP="005E7023">
      <w:pPr>
        <w:rPr>
          <w:b/>
          <w:bCs/>
          <w:sz w:val="26"/>
          <w:szCs w:val="26"/>
        </w:rPr>
      </w:pPr>
      <w:r w:rsidRPr="005E7023">
        <w:rPr>
          <w:b/>
          <w:bCs/>
          <w:sz w:val="26"/>
          <w:szCs w:val="26"/>
        </w:rPr>
        <w:t xml:space="preserve">Srovnání </w:t>
      </w:r>
      <w:r w:rsidR="005B19BD" w:rsidRPr="003E09E9">
        <w:rPr>
          <w:b/>
          <w:bCs/>
          <w:sz w:val="26"/>
          <w:szCs w:val="26"/>
        </w:rPr>
        <w:t>možných d</w:t>
      </w:r>
      <w:r w:rsidRPr="005E7023">
        <w:rPr>
          <w:b/>
          <w:bCs/>
          <w:sz w:val="26"/>
          <w:szCs w:val="26"/>
        </w:rPr>
        <w:t xml:space="preserve">iagnostických </w:t>
      </w:r>
      <w:r w:rsidR="005B19BD" w:rsidRPr="003E09E9">
        <w:rPr>
          <w:b/>
          <w:bCs/>
          <w:sz w:val="26"/>
          <w:szCs w:val="26"/>
        </w:rPr>
        <w:t>m</w:t>
      </w:r>
      <w:r w:rsidRPr="005E7023">
        <w:rPr>
          <w:b/>
          <w:bCs/>
          <w:sz w:val="26"/>
          <w:szCs w:val="26"/>
        </w:rPr>
        <w:t xml:space="preserve">etod: LDCT </w:t>
      </w:r>
      <w:r w:rsidR="003E09E9">
        <w:rPr>
          <w:b/>
          <w:bCs/>
          <w:sz w:val="26"/>
          <w:szCs w:val="26"/>
        </w:rPr>
        <w:t xml:space="preserve">vyšetření plic </w:t>
      </w:r>
      <w:r w:rsidRPr="005E7023">
        <w:rPr>
          <w:b/>
          <w:bCs/>
          <w:sz w:val="26"/>
          <w:szCs w:val="26"/>
        </w:rPr>
        <w:t xml:space="preserve">vs. </w:t>
      </w:r>
      <w:r w:rsidR="005B19BD" w:rsidRPr="003E09E9">
        <w:rPr>
          <w:b/>
          <w:bCs/>
          <w:sz w:val="26"/>
          <w:szCs w:val="26"/>
        </w:rPr>
        <w:t>s</w:t>
      </w:r>
      <w:r w:rsidRPr="005E7023">
        <w:rPr>
          <w:b/>
          <w:bCs/>
          <w:sz w:val="26"/>
          <w:szCs w:val="26"/>
        </w:rPr>
        <w:t>kiagrafie</w:t>
      </w:r>
    </w:p>
    <w:p w14:paraId="3BB34F11" w14:textId="77777777" w:rsidR="005E7023" w:rsidRPr="005E7023" w:rsidRDefault="005E7023" w:rsidP="005B19BD">
      <w:pPr>
        <w:jc w:val="both"/>
        <w:rPr>
          <w:sz w:val="24"/>
          <w:szCs w:val="24"/>
        </w:rPr>
      </w:pPr>
      <w:r w:rsidRPr="006D3B7F">
        <w:rPr>
          <w:sz w:val="24"/>
          <w:szCs w:val="24"/>
        </w:rPr>
        <w:t xml:space="preserve">Při rozhodování o </w:t>
      </w:r>
      <w:r w:rsidR="00567BFE" w:rsidRPr="006D3B7F">
        <w:rPr>
          <w:sz w:val="24"/>
          <w:szCs w:val="24"/>
        </w:rPr>
        <w:t xml:space="preserve">typu </w:t>
      </w:r>
      <w:r w:rsidRPr="006D3B7F">
        <w:rPr>
          <w:sz w:val="24"/>
          <w:szCs w:val="24"/>
        </w:rPr>
        <w:t>vyšetření je důležité zvážit nejen radiační zátěž, ale i diagnostickou kvalitu. Zatímco prostý</w:t>
      </w:r>
      <w:r w:rsidR="008E4479">
        <w:rPr>
          <w:sz w:val="24"/>
          <w:szCs w:val="24"/>
        </w:rPr>
        <w:t xml:space="preserve"> snímek </w:t>
      </w:r>
      <w:r w:rsidRPr="006D3B7F">
        <w:rPr>
          <w:sz w:val="24"/>
          <w:szCs w:val="24"/>
        </w:rPr>
        <w:t>RTG hrudníku představuje velmi nízkou efektivní dávku 0,</w:t>
      </w:r>
      <w:r w:rsidR="004035F7">
        <w:rPr>
          <w:sz w:val="24"/>
          <w:szCs w:val="24"/>
        </w:rPr>
        <w:t xml:space="preserve">02 – 0,1 </w:t>
      </w:r>
      <w:r w:rsidRPr="006D3B7F">
        <w:rPr>
          <w:sz w:val="24"/>
          <w:szCs w:val="24"/>
        </w:rPr>
        <w:t xml:space="preserve">mSv, </w:t>
      </w:r>
      <w:r w:rsidR="00567BFE" w:rsidRPr="006D3B7F">
        <w:rPr>
          <w:sz w:val="24"/>
          <w:szCs w:val="24"/>
        </w:rPr>
        <w:t>získaná diagnostická informace</w:t>
      </w:r>
      <w:r w:rsidR="006D3B7F" w:rsidRPr="006D3B7F">
        <w:rPr>
          <w:sz w:val="24"/>
          <w:szCs w:val="24"/>
        </w:rPr>
        <w:t xml:space="preserve"> má</w:t>
      </w:r>
      <w:r w:rsidR="006D3B7F">
        <w:rPr>
          <w:sz w:val="24"/>
          <w:szCs w:val="24"/>
        </w:rPr>
        <w:t xml:space="preserve"> </w:t>
      </w:r>
      <w:r w:rsidRPr="006D3B7F">
        <w:rPr>
          <w:sz w:val="24"/>
          <w:szCs w:val="24"/>
        </w:rPr>
        <w:t>nedostatky, jako je sumace jednotlivých struktur a zobrazení pouze ve 2D projekci</w:t>
      </w:r>
      <w:r w:rsidRPr="005E7023">
        <w:rPr>
          <w:sz w:val="24"/>
          <w:szCs w:val="24"/>
        </w:rPr>
        <w:t xml:space="preserve">, </w:t>
      </w:r>
      <w:r w:rsidR="00567BFE">
        <w:rPr>
          <w:sz w:val="24"/>
          <w:szCs w:val="24"/>
        </w:rPr>
        <w:t>To</w:t>
      </w:r>
      <w:r w:rsidR="005B19BD" w:rsidRPr="003E09E9">
        <w:rPr>
          <w:sz w:val="24"/>
          <w:szCs w:val="24"/>
        </w:rPr>
        <w:t xml:space="preserve"> může vést</w:t>
      </w:r>
      <w:r w:rsidRPr="005E7023">
        <w:rPr>
          <w:sz w:val="24"/>
          <w:szCs w:val="24"/>
        </w:rPr>
        <w:t xml:space="preserve"> k riziku falešně negativního nálezu. LDCT plic s efektivní dávkou 1,0−1,5 mSv oproti tomu nabízí spolehliv</w:t>
      </w:r>
      <w:r w:rsidR="0046089D">
        <w:rPr>
          <w:sz w:val="24"/>
          <w:szCs w:val="24"/>
        </w:rPr>
        <w:t>ější</w:t>
      </w:r>
      <w:r w:rsidRPr="005E7023">
        <w:rPr>
          <w:sz w:val="24"/>
          <w:szCs w:val="24"/>
        </w:rPr>
        <w:t xml:space="preserve"> detekci časných stádií, možnost kvalitnějšího prostorového zobrazení, lepší charakterizaci</w:t>
      </w:r>
      <w:r w:rsidR="0046089D">
        <w:rPr>
          <w:sz w:val="24"/>
          <w:szCs w:val="24"/>
        </w:rPr>
        <w:t xml:space="preserve"> případných</w:t>
      </w:r>
      <w:r w:rsidRPr="005E7023">
        <w:rPr>
          <w:sz w:val="24"/>
          <w:szCs w:val="24"/>
        </w:rPr>
        <w:t xml:space="preserve"> ložisek a kompletní </w:t>
      </w:r>
      <w:r w:rsidR="00567BFE">
        <w:rPr>
          <w:sz w:val="24"/>
          <w:szCs w:val="24"/>
        </w:rPr>
        <w:t xml:space="preserve">diagnostické </w:t>
      </w:r>
      <w:r w:rsidRPr="005E7023">
        <w:rPr>
          <w:sz w:val="24"/>
          <w:szCs w:val="24"/>
        </w:rPr>
        <w:t>hodnocení hrudníku</w:t>
      </w:r>
      <w:r w:rsidR="00567BFE">
        <w:rPr>
          <w:sz w:val="24"/>
          <w:szCs w:val="24"/>
        </w:rPr>
        <w:t>,</w:t>
      </w:r>
      <w:r w:rsidRPr="005E7023">
        <w:rPr>
          <w:sz w:val="24"/>
          <w:szCs w:val="24"/>
        </w:rPr>
        <w:t xml:space="preserve"> včetně záchytů vedlejších nálezů s klinickým významem. Standardní CT hrudníku má efektivní dávku výrazně vyšší (5−10 mSv) a pro</w:t>
      </w:r>
      <w:r w:rsidR="005B19BD" w:rsidRPr="003E09E9">
        <w:rPr>
          <w:sz w:val="24"/>
          <w:szCs w:val="24"/>
        </w:rPr>
        <w:t>to</w:t>
      </w:r>
      <w:r w:rsidRPr="005E7023">
        <w:rPr>
          <w:sz w:val="24"/>
          <w:szCs w:val="24"/>
        </w:rPr>
        <w:t xml:space="preserve"> </w:t>
      </w:r>
      <w:r w:rsidRPr="006D3B7F">
        <w:rPr>
          <w:sz w:val="24"/>
          <w:szCs w:val="24"/>
        </w:rPr>
        <w:t>není</w:t>
      </w:r>
      <w:r w:rsidR="005B19BD" w:rsidRPr="006D3B7F">
        <w:rPr>
          <w:sz w:val="24"/>
          <w:szCs w:val="24"/>
        </w:rPr>
        <w:t xml:space="preserve"> </w:t>
      </w:r>
      <w:r w:rsidR="006D3B7F">
        <w:rPr>
          <w:sz w:val="24"/>
          <w:szCs w:val="24"/>
        </w:rPr>
        <w:t xml:space="preserve">tato </w:t>
      </w:r>
      <w:r w:rsidR="005B19BD" w:rsidRPr="003E09E9">
        <w:rPr>
          <w:sz w:val="24"/>
          <w:szCs w:val="24"/>
        </w:rPr>
        <w:t>volba v tomto případě</w:t>
      </w:r>
      <w:r w:rsidRPr="005E7023">
        <w:rPr>
          <w:sz w:val="24"/>
          <w:szCs w:val="24"/>
        </w:rPr>
        <w:t xml:space="preserve"> optimální.</w:t>
      </w:r>
    </w:p>
    <w:p w14:paraId="68ED04C8" w14:textId="77777777" w:rsidR="005E7023" w:rsidRPr="005E7023" w:rsidRDefault="005B19BD" w:rsidP="005E7023">
      <w:pPr>
        <w:rPr>
          <w:b/>
          <w:bCs/>
          <w:sz w:val="26"/>
          <w:szCs w:val="26"/>
        </w:rPr>
      </w:pPr>
      <w:r w:rsidRPr="003E09E9">
        <w:rPr>
          <w:b/>
          <w:bCs/>
          <w:sz w:val="26"/>
          <w:szCs w:val="26"/>
        </w:rPr>
        <w:t>Doporučený p</w:t>
      </w:r>
      <w:r w:rsidR="005E7023" w:rsidRPr="005E7023">
        <w:rPr>
          <w:b/>
          <w:bCs/>
          <w:sz w:val="26"/>
          <w:szCs w:val="26"/>
        </w:rPr>
        <w:t xml:space="preserve">ostup a </w:t>
      </w:r>
      <w:r w:rsidRPr="003E09E9">
        <w:rPr>
          <w:b/>
          <w:bCs/>
          <w:sz w:val="26"/>
          <w:szCs w:val="26"/>
        </w:rPr>
        <w:t>p</w:t>
      </w:r>
      <w:r w:rsidR="005E7023" w:rsidRPr="005E7023">
        <w:rPr>
          <w:b/>
          <w:bCs/>
          <w:sz w:val="26"/>
          <w:szCs w:val="26"/>
        </w:rPr>
        <w:t xml:space="preserve">ožadavky pro </w:t>
      </w:r>
      <w:r w:rsidRPr="003E09E9">
        <w:rPr>
          <w:b/>
          <w:bCs/>
          <w:sz w:val="26"/>
          <w:szCs w:val="26"/>
        </w:rPr>
        <w:t>p</w:t>
      </w:r>
      <w:r w:rsidR="005E7023" w:rsidRPr="005E7023">
        <w:rPr>
          <w:b/>
          <w:bCs/>
          <w:sz w:val="26"/>
          <w:szCs w:val="26"/>
        </w:rPr>
        <w:t>raxi</w:t>
      </w:r>
    </w:p>
    <w:p w14:paraId="67DD630A" w14:textId="22B4D6F4" w:rsidR="006A23A7" w:rsidRPr="003E09E9" w:rsidRDefault="005E7023" w:rsidP="006A23A7">
      <w:pPr>
        <w:jc w:val="both"/>
        <w:rPr>
          <w:sz w:val="24"/>
          <w:szCs w:val="24"/>
        </w:rPr>
      </w:pPr>
      <w:r w:rsidRPr="005E7023">
        <w:rPr>
          <w:sz w:val="24"/>
          <w:szCs w:val="24"/>
        </w:rPr>
        <w:t xml:space="preserve">Vyšetření </w:t>
      </w:r>
      <w:r w:rsidR="005B19BD" w:rsidRPr="003E09E9">
        <w:rPr>
          <w:sz w:val="24"/>
          <w:szCs w:val="24"/>
        </w:rPr>
        <w:t xml:space="preserve">se provádí </w:t>
      </w:r>
      <w:r w:rsidRPr="005E7023">
        <w:rPr>
          <w:sz w:val="24"/>
          <w:szCs w:val="24"/>
        </w:rPr>
        <w:t>pouze po lékařském posouzení indikujícím lékařem, které musí zahrnovat komplexní anamnézu pacienta</w:t>
      </w:r>
      <w:r w:rsidR="006A23A7" w:rsidRPr="003E09E9">
        <w:rPr>
          <w:sz w:val="24"/>
          <w:szCs w:val="24"/>
        </w:rPr>
        <w:t xml:space="preserve">. Nezbytnou součástí této anamnézy by mělo </w:t>
      </w:r>
      <w:r w:rsidR="00567BFE">
        <w:rPr>
          <w:sz w:val="24"/>
          <w:szCs w:val="24"/>
        </w:rPr>
        <w:t xml:space="preserve">být </w:t>
      </w:r>
      <w:r w:rsidR="004D4AC7">
        <w:rPr>
          <w:sz w:val="24"/>
          <w:szCs w:val="24"/>
        </w:rPr>
        <w:t xml:space="preserve">i </w:t>
      </w:r>
      <w:r w:rsidR="006A23A7" w:rsidRPr="003E09E9">
        <w:rPr>
          <w:sz w:val="24"/>
          <w:szCs w:val="24"/>
        </w:rPr>
        <w:t>vyhodnocení předchozích ozáření</w:t>
      </w:r>
      <w:r w:rsidR="00567BFE">
        <w:rPr>
          <w:sz w:val="24"/>
          <w:szCs w:val="24"/>
        </w:rPr>
        <w:t xml:space="preserve"> pacienta</w:t>
      </w:r>
      <w:r w:rsidR="006A23A7" w:rsidRPr="003E09E9">
        <w:rPr>
          <w:sz w:val="24"/>
          <w:szCs w:val="24"/>
        </w:rPr>
        <w:t xml:space="preserve">, </w:t>
      </w:r>
      <w:r w:rsidR="004D4AC7">
        <w:rPr>
          <w:sz w:val="24"/>
          <w:szCs w:val="24"/>
        </w:rPr>
        <w:t>zejména provedených v nedávné době, a</w:t>
      </w:r>
      <w:r w:rsidR="006A23A7" w:rsidRPr="003E09E9">
        <w:rPr>
          <w:sz w:val="24"/>
          <w:szCs w:val="24"/>
        </w:rPr>
        <w:t xml:space="preserve"> která využívala ionizující záření (např. RTG, skiaskopie, angiografie, CT). Shromáždění těchto informací umožňuje </w:t>
      </w:r>
      <w:r w:rsidR="00567BFE">
        <w:rPr>
          <w:sz w:val="24"/>
          <w:szCs w:val="24"/>
        </w:rPr>
        <w:t xml:space="preserve">pak </w:t>
      </w:r>
      <w:r w:rsidR="006A23A7" w:rsidRPr="003E09E9">
        <w:rPr>
          <w:sz w:val="24"/>
          <w:szCs w:val="24"/>
        </w:rPr>
        <w:t xml:space="preserve">lékaři </w:t>
      </w:r>
      <w:r w:rsidR="0046089D">
        <w:rPr>
          <w:sz w:val="24"/>
          <w:szCs w:val="24"/>
        </w:rPr>
        <w:t>lépe</w:t>
      </w:r>
      <w:r w:rsidR="0046089D" w:rsidRPr="003E09E9">
        <w:rPr>
          <w:sz w:val="24"/>
          <w:szCs w:val="24"/>
        </w:rPr>
        <w:t xml:space="preserve"> </w:t>
      </w:r>
      <w:r w:rsidR="006A23A7" w:rsidRPr="003E09E9">
        <w:rPr>
          <w:sz w:val="24"/>
          <w:szCs w:val="24"/>
        </w:rPr>
        <w:t>posoudit kumulativní radiační zátěž pacienta</w:t>
      </w:r>
      <w:r w:rsidR="004D4AC7">
        <w:rPr>
          <w:sz w:val="24"/>
          <w:szCs w:val="24"/>
        </w:rPr>
        <w:t>, příp. neprovádět další vyšetření zbytečně.</w:t>
      </w:r>
    </w:p>
    <w:p w14:paraId="332D7689" w14:textId="46EFCA3E" w:rsidR="006A23A7" w:rsidRPr="006A23A7" w:rsidRDefault="006A23A7" w:rsidP="003E09E9">
      <w:pPr>
        <w:jc w:val="both"/>
        <w:rPr>
          <w:sz w:val="24"/>
          <w:szCs w:val="24"/>
        </w:rPr>
      </w:pPr>
      <w:r w:rsidRPr="006A23A7">
        <w:rPr>
          <w:sz w:val="24"/>
          <w:szCs w:val="24"/>
        </w:rPr>
        <w:t xml:space="preserve">Pacientovi musí být před provedením vyšetření poskytnuty </w:t>
      </w:r>
      <w:r w:rsidR="004D4AC7">
        <w:rPr>
          <w:sz w:val="24"/>
          <w:szCs w:val="24"/>
        </w:rPr>
        <w:t>srozumitelné</w:t>
      </w:r>
      <w:r w:rsidRPr="006A23A7">
        <w:rPr>
          <w:sz w:val="24"/>
          <w:szCs w:val="24"/>
        </w:rPr>
        <w:t xml:space="preserve"> informace</w:t>
      </w:r>
      <w:r w:rsidR="003E09E9" w:rsidRPr="003E09E9">
        <w:rPr>
          <w:sz w:val="24"/>
          <w:szCs w:val="24"/>
        </w:rPr>
        <w:t xml:space="preserve"> týkající se tohoto typu vyšetření. </w:t>
      </w:r>
    </w:p>
    <w:p w14:paraId="722941EE" w14:textId="438E7AC6" w:rsidR="005E7023" w:rsidRPr="005E7023" w:rsidRDefault="006A23A7" w:rsidP="003E09E9">
      <w:pPr>
        <w:jc w:val="both"/>
        <w:rPr>
          <w:sz w:val="24"/>
          <w:szCs w:val="24"/>
        </w:rPr>
      </w:pPr>
      <w:r w:rsidRPr="006A23A7">
        <w:rPr>
          <w:sz w:val="24"/>
          <w:szCs w:val="24"/>
        </w:rPr>
        <w:t xml:space="preserve">Dále je vyžadováno, aby pracoviště provádějící toto vyšetření splňovalo nejen veškeré standardní podmínky pro poskytování zdravotní péče, ale také </w:t>
      </w:r>
      <w:r w:rsidR="003E09E9" w:rsidRPr="003E09E9">
        <w:rPr>
          <w:sz w:val="24"/>
          <w:szCs w:val="24"/>
        </w:rPr>
        <w:t xml:space="preserve">veškeré </w:t>
      </w:r>
      <w:r w:rsidRPr="006A23A7">
        <w:rPr>
          <w:sz w:val="24"/>
          <w:szCs w:val="24"/>
        </w:rPr>
        <w:t xml:space="preserve">požadavky stanovené </w:t>
      </w:r>
      <w:r w:rsidR="00567BFE">
        <w:rPr>
          <w:sz w:val="24"/>
          <w:szCs w:val="24"/>
        </w:rPr>
        <w:t>zákonem</w:t>
      </w:r>
      <w:r w:rsidR="003E09E9" w:rsidRPr="003E09E9">
        <w:rPr>
          <w:sz w:val="24"/>
          <w:szCs w:val="24"/>
        </w:rPr>
        <w:t xml:space="preserve"> č. 263/2016</w:t>
      </w:r>
      <w:r w:rsidR="00567BFE">
        <w:rPr>
          <w:sz w:val="24"/>
          <w:szCs w:val="24"/>
        </w:rPr>
        <w:t xml:space="preserve"> Sb.</w:t>
      </w:r>
      <w:r w:rsidR="00D36B7B">
        <w:rPr>
          <w:sz w:val="24"/>
          <w:szCs w:val="24"/>
        </w:rPr>
        <w:t xml:space="preserve"> (atomový zákon).</w:t>
      </w:r>
      <w:r w:rsidR="003E09E9" w:rsidRPr="003E09E9">
        <w:rPr>
          <w:sz w:val="24"/>
          <w:szCs w:val="24"/>
        </w:rPr>
        <w:t xml:space="preserve"> Nezbytnou součástí</w:t>
      </w:r>
      <w:r w:rsidR="005F1FE6">
        <w:rPr>
          <w:sz w:val="24"/>
          <w:szCs w:val="24"/>
        </w:rPr>
        <w:t xml:space="preserve"> CT přístroje</w:t>
      </w:r>
      <w:r w:rsidR="003E09E9" w:rsidRPr="003E09E9">
        <w:rPr>
          <w:sz w:val="24"/>
          <w:szCs w:val="24"/>
        </w:rPr>
        <w:t xml:space="preserve"> je také to, že </w:t>
      </w:r>
      <w:r w:rsidR="005F1FE6">
        <w:rPr>
          <w:sz w:val="24"/>
          <w:szCs w:val="24"/>
        </w:rPr>
        <w:t xml:space="preserve">toto </w:t>
      </w:r>
      <w:r w:rsidRPr="006A23A7">
        <w:rPr>
          <w:sz w:val="24"/>
          <w:szCs w:val="24"/>
        </w:rPr>
        <w:t xml:space="preserve">zařízení </w:t>
      </w:r>
      <w:r w:rsidR="005F1FE6">
        <w:rPr>
          <w:sz w:val="24"/>
          <w:szCs w:val="24"/>
        </w:rPr>
        <w:t xml:space="preserve">musí umožnit </w:t>
      </w:r>
      <w:r w:rsidRPr="006A23A7">
        <w:rPr>
          <w:sz w:val="24"/>
          <w:szCs w:val="24"/>
        </w:rPr>
        <w:t>použití optimalizovaných LDCT protokolů k zajištění vyšetření s minimální možnou dávkou záření</w:t>
      </w:r>
      <w:r w:rsidR="000A2731">
        <w:rPr>
          <w:sz w:val="24"/>
          <w:szCs w:val="24"/>
        </w:rPr>
        <w:t xml:space="preserve"> při zajištění dostatečně kvalitní </w:t>
      </w:r>
      <w:r w:rsidR="004D4AC7">
        <w:rPr>
          <w:sz w:val="24"/>
          <w:szCs w:val="24"/>
        </w:rPr>
        <w:t xml:space="preserve">diagnostické </w:t>
      </w:r>
      <w:r w:rsidR="000A2731">
        <w:rPr>
          <w:sz w:val="24"/>
          <w:szCs w:val="24"/>
        </w:rPr>
        <w:t>informace</w:t>
      </w:r>
      <w:r w:rsidR="003E09E9" w:rsidRPr="003E09E9">
        <w:rPr>
          <w:sz w:val="24"/>
          <w:szCs w:val="24"/>
        </w:rPr>
        <w:t>.</w:t>
      </w:r>
    </w:p>
    <w:p w14:paraId="33D33156" w14:textId="77777777" w:rsidR="005E7023" w:rsidRPr="005E7023" w:rsidRDefault="005E7023" w:rsidP="005E7023">
      <w:pPr>
        <w:rPr>
          <w:b/>
          <w:bCs/>
          <w:sz w:val="26"/>
          <w:szCs w:val="26"/>
        </w:rPr>
      </w:pPr>
      <w:r w:rsidRPr="005E7023">
        <w:rPr>
          <w:b/>
          <w:bCs/>
          <w:sz w:val="26"/>
          <w:szCs w:val="26"/>
        </w:rPr>
        <w:t>Závěr</w:t>
      </w:r>
    </w:p>
    <w:p w14:paraId="48187D0B" w14:textId="77777777" w:rsidR="000A2731" w:rsidRDefault="00A855D2" w:rsidP="003E09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Možnost provést </w:t>
      </w:r>
      <w:r w:rsidR="005E7023" w:rsidRPr="005E7023">
        <w:rPr>
          <w:sz w:val="24"/>
          <w:szCs w:val="24"/>
        </w:rPr>
        <w:t xml:space="preserve">LDCT </w:t>
      </w:r>
      <w:r>
        <w:rPr>
          <w:sz w:val="24"/>
          <w:szCs w:val="24"/>
        </w:rPr>
        <w:t xml:space="preserve">vyšetření </w:t>
      </w:r>
      <w:r w:rsidR="005E7023" w:rsidRPr="005E7023">
        <w:rPr>
          <w:sz w:val="24"/>
          <w:szCs w:val="24"/>
        </w:rPr>
        <w:t xml:space="preserve">u asymptomatických osob je v souladu se </w:t>
      </w:r>
      <w:r w:rsidR="003E09E9" w:rsidRPr="003E09E9">
        <w:rPr>
          <w:sz w:val="24"/>
          <w:szCs w:val="24"/>
        </w:rPr>
        <w:t>s</w:t>
      </w:r>
      <w:r w:rsidR="005E7023" w:rsidRPr="005E7023">
        <w:rPr>
          <w:sz w:val="24"/>
          <w:szCs w:val="24"/>
        </w:rPr>
        <w:t xml:space="preserve">měrnicí 2013/59/EURATOM a </w:t>
      </w:r>
      <w:r>
        <w:rPr>
          <w:sz w:val="24"/>
          <w:szCs w:val="24"/>
        </w:rPr>
        <w:t>z</w:t>
      </w:r>
      <w:r w:rsidR="005E7023" w:rsidRPr="005E7023">
        <w:rPr>
          <w:sz w:val="24"/>
          <w:szCs w:val="24"/>
        </w:rPr>
        <w:t>ákonem č. 263/2016 Sb.</w:t>
      </w:r>
      <w:r w:rsidR="005F1FE6">
        <w:rPr>
          <w:sz w:val="24"/>
          <w:szCs w:val="24"/>
        </w:rPr>
        <w:t xml:space="preserve"> </w:t>
      </w:r>
      <w:r w:rsidR="00555DB0">
        <w:rPr>
          <w:sz w:val="24"/>
          <w:szCs w:val="24"/>
        </w:rPr>
        <w:t>pokud je provedeno</w:t>
      </w:r>
      <w:r w:rsidR="005E7023" w:rsidRPr="005E7023">
        <w:rPr>
          <w:sz w:val="24"/>
          <w:szCs w:val="24"/>
        </w:rPr>
        <w:t xml:space="preserve"> </w:t>
      </w:r>
      <w:r w:rsidR="005E7023" w:rsidRPr="004035F7">
        <w:rPr>
          <w:b/>
          <w:bCs/>
          <w:sz w:val="24"/>
          <w:szCs w:val="24"/>
        </w:rPr>
        <w:t>individuální posouzení každého případu</w:t>
      </w:r>
      <w:r w:rsidR="003E09E9" w:rsidRPr="004035F7">
        <w:rPr>
          <w:b/>
          <w:bCs/>
          <w:sz w:val="24"/>
          <w:szCs w:val="24"/>
        </w:rPr>
        <w:t xml:space="preserve"> lékařem</w:t>
      </w:r>
      <w:r w:rsidR="005E7023" w:rsidRPr="005E7023">
        <w:rPr>
          <w:sz w:val="24"/>
          <w:szCs w:val="24"/>
        </w:rPr>
        <w:t>, získání informovaného souhlasu pacienta</w:t>
      </w:r>
      <w:r w:rsidR="003E09E9" w:rsidRPr="003E09E9">
        <w:rPr>
          <w:sz w:val="24"/>
          <w:szCs w:val="24"/>
        </w:rPr>
        <w:t>, následné vystavení žádanky o vyšetření</w:t>
      </w:r>
      <w:r w:rsidR="005E7023" w:rsidRPr="005E7023">
        <w:rPr>
          <w:sz w:val="24"/>
          <w:szCs w:val="24"/>
        </w:rPr>
        <w:t xml:space="preserve"> a použití optimalizovaných LDCT protokolů</w:t>
      </w:r>
      <w:r w:rsidR="003E09E9" w:rsidRPr="003E09E9">
        <w:rPr>
          <w:sz w:val="24"/>
          <w:szCs w:val="24"/>
        </w:rPr>
        <w:t xml:space="preserve"> pro vyšetření CT plic.</w:t>
      </w:r>
      <w:r w:rsidR="005E7023" w:rsidRPr="005E7023">
        <w:rPr>
          <w:sz w:val="24"/>
          <w:szCs w:val="24"/>
        </w:rPr>
        <w:t xml:space="preserve"> </w:t>
      </w:r>
    </w:p>
    <w:p w14:paraId="6E81EFCD" w14:textId="77777777" w:rsidR="005E7023" w:rsidRPr="005E7023" w:rsidRDefault="005F1FE6" w:rsidP="003E09E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LDCT </w:t>
      </w:r>
      <w:r w:rsidR="005E7023" w:rsidRPr="005E7023">
        <w:rPr>
          <w:sz w:val="24"/>
          <w:szCs w:val="24"/>
        </w:rPr>
        <w:t xml:space="preserve">vyšetření plic </w:t>
      </w:r>
      <w:r w:rsidR="003E09E9" w:rsidRPr="003E09E9">
        <w:rPr>
          <w:sz w:val="24"/>
          <w:szCs w:val="24"/>
        </w:rPr>
        <w:t xml:space="preserve">u asymptomatických osob, </w:t>
      </w:r>
      <w:r w:rsidR="005E7023" w:rsidRPr="005E7023">
        <w:rPr>
          <w:sz w:val="24"/>
          <w:szCs w:val="24"/>
        </w:rPr>
        <w:t>tak</w:t>
      </w:r>
      <w:r w:rsidR="003E09E9" w:rsidRPr="003E09E9">
        <w:rPr>
          <w:sz w:val="24"/>
          <w:szCs w:val="24"/>
        </w:rPr>
        <w:t xml:space="preserve"> může</w:t>
      </w:r>
      <w:r w:rsidR="005E7023" w:rsidRPr="005E7023">
        <w:rPr>
          <w:sz w:val="24"/>
          <w:szCs w:val="24"/>
        </w:rPr>
        <w:t xml:space="preserve"> představ</w:t>
      </w:r>
      <w:r w:rsidR="003E09E9" w:rsidRPr="003E09E9">
        <w:rPr>
          <w:sz w:val="24"/>
          <w:szCs w:val="24"/>
        </w:rPr>
        <w:t>ovat</w:t>
      </w:r>
      <w:r w:rsidR="005E7023" w:rsidRPr="005E7023">
        <w:rPr>
          <w:sz w:val="24"/>
          <w:szCs w:val="24"/>
        </w:rPr>
        <w:t xml:space="preserve"> medicínsky odůvodněný</w:t>
      </w:r>
      <w:r w:rsidR="003E09E9" w:rsidRPr="003E09E9">
        <w:rPr>
          <w:sz w:val="24"/>
          <w:szCs w:val="24"/>
        </w:rPr>
        <w:t xml:space="preserve"> </w:t>
      </w:r>
      <w:r w:rsidR="005E7023" w:rsidRPr="005E7023">
        <w:rPr>
          <w:sz w:val="24"/>
          <w:szCs w:val="24"/>
        </w:rPr>
        <w:t>a eticky přijatelný postup, který respektuje komplexní pohled na zdraví pacienta.</w:t>
      </w:r>
    </w:p>
    <w:p w14:paraId="09D97F64" w14:textId="77777777" w:rsidR="00663C1F" w:rsidRDefault="00663C1F"/>
    <w:p w14:paraId="77F8D2CD" w14:textId="77777777" w:rsidR="000A2731" w:rsidRDefault="000A2731"/>
    <w:sectPr w:rsidR="000A27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75067"/>
    <w:multiLevelType w:val="multilevel"/>
    <w:tmpl w:val="77706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635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023"/>
    <w:rsid w:val="000A2731"/>
    <w:rsid w:val="00146B19"/>
    <w:rsid w:val="001E5843"/>
    <w:rsid w:val="00365D45"/>
    <w:rsid w:val="003A111A"/>
    <w:rsid w:val="003E09E9"/>
    <w:rsid w:val="004035F7"/>
    <w:rsid w:val="0046089D"/>
    <w:rsid w:val="00493896"/>
    <w:rsid w:val="004C2D28"/>
    <w:rsid w:val="004D4AC7"/>
    <w:rsid w:val="00555DB0"/>
    <w:rsid w:val="00567BFE"/>
    <w:rsid w:val="005B19BD"/>
    <w:rsid w:val="005B4035"/>
    <w:rsid w:val="005E7023"/>
    <w:rsid w:val="005F0912"/>
    <w:rsid w:val="005F1FE6"/>
    <w:rsid w:val="00663C1F"/>
    <w:rsid w:val="006A23A7"/>
    <w:rsid w:val="006D3B7F"/>
    <w:rsid w:val="007D5334"/>
    <w:rsid w:val="008E4479"/>
    <w:rsid w:val="00996C06"/>
    <w:rsid w:val="00A45D13"/>
    <w:rsid w:val="00A855D2"/>
    <w:rsid w:val="00BB3C7A"/>
    <w:rsid w:val="00BE524D"/>
    <w:rsid w:val="00C27ABF"/>
    <w:rsid w:val="00C71D7A"/>
    <w:rsid w:val="00C96C25"/>
    <w:rsid w:val="00CB5C6B"/>
    <w:rsid w:val="00D338EC"/>
    <w:rsid w:val="00D36B7B"/>
    <w:rsid w:val="00DD5335"/>
    <w:rsid w:val="00FD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095D"/>
  <w15:chartTrackingRefBased/>
  <w15:docId w15:val="{90ED902D-B9FF-4D04-9E75-EB7256FE5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70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70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702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70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702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70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70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70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70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702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702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702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7023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7023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70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70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70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70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70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70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70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70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70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70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70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7023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702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7023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7023"/>
    <w:rPr>
      <w:b/>
      <w:bCs/>
      <w:smallCaps/>
      <w:color w:val="2E74B5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6A23A7"/>
    <w:rPr>
      <w:rFonts w:ascii="Times New Roman" w:hAnsi="Times New Roman" w:cs="Times New Roman"/>
      <w:sz w:val="24"/>
      <w:szCs w:val="24"/>
    </w:rPr>
  </w:style>
  <w:style w:type="paragraph" w:styleId="Revize">
    <w:name w:val="Revision"/>
    <w:hidden/>
    <w:uiPriority w:val="99"/>
    <w:semiHidden/>
    <w:rsid w:val="00365D45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65D4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65D4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65D4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65D4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65D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29BE2-8EB9-4558-A7D9-74038345A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707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Vostřáková Michaela</dc:creator>
  <cp:keywords/>
  <dc:description/>
  <cp:lastModifiedBy>Petrová Karla</cp:lastModifiedBy>
  <cp:revision>3</cp:revision>
  <dcterms:created xsi:type="dcterms:W3CDTF">2025-11-28T10:38:00Z</dcterms:created>
  <dcterms:modified xsi:type="dcterms:W3CDTF">2025-12-01T19:44:00Z</dcterms:modified>
</cp:coreProperties>
</file>